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C6A2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52AFAC40" w14:textId="77777777" w:rsidR="0015686B" w:rsidRPr="0015686B" w:rsidRDefault="0015686B" w:rsidP="0015686B">
      <w:pPr>
        <w:pStyle w:val="MHHSBody"/>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407B959E" w:rsidR="004D4723" w:rsidRPr="0015686B" w:rsidRDefault="0088434D" w:rsidP="007030A3">
            <w:pPr>
              <w:pStyle w:val="MHHSBody"/>
              <w:rPr>
                <w:rFonts w:cstheme="minorHAnsi"/>
                <w:szCs w:val="20"/>
              </w:rPr>
            </w:pPr>
            <w:r w:rsidRPr="0015686B">
              <w:rPr>
                <w:rFonts w:cstheme="minorHAnsi"/>
                <w:szCs w:val="20"/>
              </w:rPr>
              <w:t>Replacement of D0242/D0315 for MHHS</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58B1ACF2" w:rsidR="004D4723" w:rsidRPr="0015686B" w:rsidRDefault="00403DB2" w:rsidP="005A4D7B">
            <w:pPr>
              <w:pStyle w:val="MHHSBody"/>
              <w:rPr>
                <w:rFonts w:cstheme="minorHAnsi"/>
                <w:szCs w:val="20"/>
              </w:rPr>
            </w:pPr>
            <w:r w:rsidRPr="0015686B">
              <w:rPr>
                <w:rFonts w:cstheme="minorHAnsi"/>
                <w:szCs w:val="20"/>
              </w:rPr>
              <w:t>CR019</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6395A40A" w:rsidR="004D4723" w:rsidRPr="0015686B" w:rsidRDefault="0088434D" w:rsidP="005A4D7B">
            <w:pPr>
              <w:pStyle w:val="MHHSBody"/>
              <w:rPr>
                <w:rFonts w:cstheme="minorHAnsi"/>
                <w:szCs w:val="20"/>
              </w:rPr>
            </w:pPr>
            <w:r w:rsidRPr="0015686B">
              <w:rPr>
                <w:rFonts w:cstheme="minorHAnsi"/>
                <w:szCs w:val="20"/>
              </w:rPr>
              <w:t>DCUSA DCP 415</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788995F6" w:rsidR="004D4723" w:rsidRPr="0015686B" w:rsidRDefault="00DA68E0" w:rsidP="005A4D7B">
            <w:pPr>
              <w:pStyle w:val="MHHSBody"/>
              <w:rPr>
                <w:rFonts w:cstheme="minorHAnsi"/>
                <w:szCs w:val="20"/>
              </w:rPr>
            </w:pPr>
            <w:r>
              <w:rPr>
                <w:rFonts w:cstheme="minorHAnsi"/>
                <w:szCs w:val="20"/>
              </w:rPr>
              <w:t>N/A</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2A52F23C" w:rsidR="004D4723" w:rsidRPr="0015686B" w:rsidRDefault="0088434D" w:rsidP="005A4D7B">
            <w:pPr>
              <w:pStyle w:val="MHHSBody"/>
              <w:rPr>
                <w:rFonts w:cstheme="minorHAnsi"/>
                <w:szCs w:val="20"/>
              </w:rPr>
            </w:pPr>
            <w:r w:rsidRPr="0015686B">
              <w:rPr>
                <w:rFonts w:cstheme="minorHAnsi"/>
                <w:szCs w:val="20"/>
              </w:rPr>
              <w:t xml:space="preserve">Peter Waymont </w:t>
            </w:r>
            <w:r w:rsidR="009F6D31" w:rsidRPr="0015686B">
              <w:rPr>
                <w:rFonts w:cstheme="minorHAnsi"/>
                <w:szCs w:val="20"/>
              </w:rPr>
              <w:t>&amp; Nea</w:t>
            </w:r>
            <w:r w:rsidR="0089405F" w:rsidRPr="0015686B">
              <w:rPr>
                <w:rFonts w:cstheme="minorHAnsi"/>
                <w:szCs w:val="20"/>
              </w:rPr>
              <w:t>l</w:t>
            </w:r>
            <w:r w:rsidR="009F6D31" w:rsidRPr="0015686B">
              <w:rPr>
                <w:rFonts w:cstheme="minorHAnsi"/>
                <w:szCs w:val="20"/>
              </w:rPr>
              <w:t xml:space="preserve"> Medley</w:t>
            </w:r>
            <w:r w:rsidR="0089405F" w:rsidRPr="0015686B">
              <w:rPr>
                <w:rFonts w:cstheme="minorHAnsi"/>
                <w:szCs w:val="20"/>
              </w:rPr>
              <w:t xml:space="preserve"> </w:t>
            </w:r>
            <w:r w:rsidRPr="0015686B">
              <w:rPr>
                <w:rFonts w:cstheme="minorHAnsi"/>
                <w:szCs w:val="20"/>
              </w:rPr>
              <w:t>/ Eastern Power Networks</w:t>
            </w:r>
          </w:p>
        </w:tc>
        <w:tc>
          <w:tcPr>
            <w:tcW w:w="1417" w:type="dxa"/>
            <w:tcBorders>
              <w:left w:val="single" w:sz="4" w:space="0" w:color="auto"/>
              <w:right w:val="single" w:sz="4" w:space="0" w:color="auto"/>
            </w:tcBorders>
          </w:tcPr>
          <w:p w14:paraId="313F2828" w14:textId="77777777" w:rsidR="004D4723" w:rsidRPr="0015686B" w:rsidRDefault="004D4723" w:rsidP="005A4D7B">
            <w:pPr>
              <w:pStyle w:val="MHHSBody"/>
              <w:rPr>
                <w:rFonts w:cstheme="minorHAnsi"/>
                <w:szCs w:val="20"/>
              </w:rPr>
            </w:pPr>
            <w:r w:rsidRPr="0015686B">
              <w:rPr>
                <w:rFonts w:cstheme="minorHAnsi"/>
                <w:szCs w:val="20"/>
              </w:rPr>
              <w:t>Date raised:</w:t>
            </w:r>
          </w:p>
        </w:tc>
        <w:tc>
          <w:tcPr>
            <w:tcW w:w="1469" w:type="dxa"/>
            <w:tcBorders>
              <w:left w:val="single" w:sz="4" w:space="0" w:color="auto"/>
              <w:right w:val="single" w:sz="4" w:space="0" w:color="auto"/>
            </w:tcBorders>
          </w:tcPr>
          <w:p w14:paraId="5EF465FD" w14:textId="6A491C19" w:rsidR="00393377" w:rsidRPr="0015686B" w:rsidRDefault="00781C0D" w:rsidP="005A4D7B">
            <w:pPr>
              <w:pStyle w:val="MHHSBody"/>
              <w:rPr>
                <w:rFonts w:cstheme="minorHAnsi"/>
                <w:szCs w:val="20"/>
              </w:rPr>
            </w:pPr>
            <w:r w:rsidRPr="0015686B">
              <w:rPr>
                <w:rFonts w:cstheme="minorHAnsi"/>
                <w:szCs w:val="20"/>
              </w:rPr>
              <w:t>03/03</w:t>
            </w:r>
            <w:r w:rsidR="0088434D" w:rsidRPr="0015686B">
              <w:rPr>
                <w:rFonts w:cstheme="minorHAnsi"/>
                <w:szCs w:val="20"/>
              </w:rPr>
              <w:t>/2023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D352D3C" w14:textId="369A3E8C" w:rsidR="0088434D" w:rsidRPr="0088434D" w:rsidRDefault="0088434D" w:rsidP="0088434D">
            <w:pPr>
              <w:pStyle w:val="MHHSBody"/>
              <w:spacing w:line="0" w:lineRule="atLeast"/>
              <w:rPr>
                <w:szCs w:val="20"/>
              </w:rPr>
            </w:pPr>
            <w:r w:rsidRPr="0088434D">
              <w:rPr>
                <w:szCs w:val="20"/>
              </w:rPr>
              <w:t xml:space="preserve">A new flow needs to be introduced for supercustomer statements in the post Market-Wide Half-Hourly </w:t>
            </w:r>
          </w:p>
          <w:p w14:paraId="029A71F8" w14:textId="675B621C" w:rsidR="00B0254B" w:rsidRPr="00E50124" w:rsidRDefault="0088434D" w:rsidP="0088434D">
            <w:pPr>
              <w:pStyle w:val="MHHSBody"/>
              <w:spacing w:after="20" w:line="0" w:lineRule="atLeast"/>
              <w:rPr>
                <w:sz w:val="16"/>
                <w:szCs w:val="16"/>
              </w:rPr>
            </w:pPr>
            <w:r w:rsidRPr="0088434D">
              <w:rPr>
                <w:szCs w:val="20"/>
              </w:rPr>
              <w:t>Settlement (MHHS) environment</w:t>
            </w:r>
            <w:r w:rsidR="00C85067">
              <w:rPr>
                <w:szCs w:val="20"/>
              </w:rPr>
              <w:t xml:space="preserve"> because the existing flow will not work with new fields and </w:t>
            </w:r>
            <w:r w:rsidR="00DC332D">
              <w:rPr>
                <w:szCs w:val="20"/>
              </w:rPr>
              <w:t>the co-existence of old and new fields during migration.</w:t>
            </w: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527A7584" w14:textId="6F04F81E" w:rsidR="00D07618" w:rsidRDefault="0088434D" w:rsidP="009C437E">
            <w:pPr>
              <w:pStyle w:val="MHHSBody"/>
            </w:pPr>
            <w:r>
              <w:t>MHHS introduces new data flows using the Data Integration Platform (DIP) and JavaScript Object Notation (JSON) format, including for the supercustomer data from settlement</w:t>
            </w:r>
            <w:r w:rsidR="004C14FC">
              <w:t xml:space="preserve"> (REP-002/002A)</w:t>
            </w:r>
            <w:r>
              <w:t>.</w:t>
            </w:r>
            <w:r w:rsidR="004C14FC">
              <w:t xml:space="preserve"> </w:t>
            </w:r>
            <w:r>
              <w:t>There will be removal of certain data items used in the current process</w:t>
            </w:r>
            <w:r w:rsidR="001A786A">
              <w:t xml:space="preserve"> and addition of new data items</w:t>
            </w:r>
            <w:r>
              <w:t>, making population of the D0242 ‘Supercustomer DUoS Daily Statement’/D0315 ‘Embedded Network Supercustomer DUoS Daily Statement’ impossible in their current format</w:t>
            </w:r>
            <w:r w:rsidR="004C14FC">
              <w:t xml:space="preserve"> for migrated customers.</w:t>
            </w:r>
          </w:p>
          <w:p w14:paraId="77113D26" w14:textId="1865CD10" w:rsidR="0074013F" w:rsidRDefault="0074013F" w:rsidP="009C437E">
            <w:pPr>
              <w:pStyle w:val="MHHSBody"/>
            </w:pPr>
            <w:r>
              <w:t>The “</w:t>
            </w:r>
            <w:r w:rsidRPr="0074013F">
              <w:t>MHHS Design: Reporting and Transition Sub Group</w:t>
            </w:r>
            <w:r>
              <w:t>” identified the need for a new DIP flow to replace the D0242/D0315 last summer but noted that these flows are under DCUSA ownership and so passed the development of the flow content to DCUSA.</w:t>
            </w:r>
          </w:p>
          <w:p w14:paraId="3C2DEE9D" w14:textId="654E7785" w:rsidR="0074013F" w:rsidRDefault="0074013F" w:rsidP="009C437E">
            <w:pPr>
              <w:pStyle w:val="MHHSBody"/>
            </w:pPr>
            <w:r>
              <w:t xml:space="preserve">A DCUSA </w:t>
            </w:r>
            <w:r w:rsidR="004C14FC">
              <w:t xml:space="preserve">change was raised and a </w:t>
            </w:r>
            <w:r>
              <w:t>working group</w:t>
            </w:r>
            <w:r w:rsidR="00324AC4">
              <w:t>, comprising the senders (LDSOs</w:t>
            </w:r>
            <w:r w:rsidR="001A786A">
              <w:t>/distributors</w:t>
            </w:r>
            <w:r w:rsidR="00324AC4">
              <w:t xml:space="preserve">) and receivers (suppliers) </w:t>
            </w:r>
            <w:r w:rsidR="004C14FC">
              <w:t xml:space="preserve">of the flows </w:t>
            </w:r>
            <w:r>
              <w:t>has identified the desi</w:t>
            </w:r>
            <w:r w:rsidR="00324AC4">
              <w:t>r</w:t>
            </w:r>
            <w:r>
              <w:t xml:space="preserve">ed flow content and now wish to bring this back to the </w:t>
            </w:r>
            <w:r w:rsidR="00404C3B">
              <w:t>P</w:t>
            </w:r>
            <w:r>
              <w:t>rogram</w:t>
            </w:r>
            <w:r w:rsidR="00404C3B">
              <w:t>me</w:t>
            </w:r>
            <w:r w:rsidR="00324AC4">
              <w:t xml:space="preserve"> to ensure that it can be delivered</w:t>
            </w:r>
            <w:r w:rsidR="009D1203">
              <w:t xml:space="preserve"> in readiness for migration.</w:t>
            </w:r>
          </w:p>
          <w:p w14:paraId="65DE6D81" w14:textId="4403E4FF" w:rsidR="004B6660" w:rsidRDefault="004B6660" w:rsidP="00DA68E0">
            <w:pPr>
              <w:rPr>
                <w:b/>
                <w:bCs/>
                <w:u w:val="single"/>
              </w:rPr>
            </w:pPr>
            <w:r w:rsidRPr="00763D47">
              <w:rPr>
                <w:b/>
                <w:bCs/>
                <w:u w:val="single"/>
              </w:rPr>
              <w:t>Further background - Transition Considerations</w:t>
            </w:r>
          </w:p>
          <w:p w14:paraId="6474EBE4" w14:textId="77777777" w:rsidR="00DA68E0" w:rsidRPr="00DA68E0" w:rsidRDefault="00DA68E0" w:rsidP="00DA68E0">
            <w:pPr>
              <w:rPr>
                <w:b/>
                <w:bCs/>
                <w:u w:val="single"/>
              </w:rPr>
            </w:pPr>
          </w:p>
          <w:p w14:paraId="42A7BB12" w14:textId="7B32C5E2" w:rsidR="004B6660" w:rsidRPr="00763D47" w:rsidRDefault="004B6660" w:rsidP="004B6660">
            <w:pPr>
              <w:pStyle w:val="MHHSBody"/>
            </w:pPr>
            <w:r w:rsidRPr="00763D47">
              <w:t xml:space="preserve">The proposed new DIP flows will be required from Transition Go-Live </w:t>
            </w:r>
            <w:proofErr w:type="gramStart"/>
            <w:r w:rsidRPr="00763D47">
              <w:t>M10</w:t>
            </w:r>
            <w:proofErr w:type="gramEnd"/>
            <w:r w:rsidRPr="00763D47">
              <w:t xml:space="preserve"> and these DIP flows will become the enduring DUoS Charging Statements for whole current customers.</w:t>
            </w:r>
          </w:p>
          <w:p w14:paraId="6B41ECD3" w14:textId="648342F5" w:rsidR="004B6660" w:rsidRPr="00763D47" w:rsidRDefault="004B6660" w:rsidP="004B6660">
            <w:pPr>
              <w:pStyle w:val="MHHSBody"/>
            </w:pPr>
            <w:r w:rsidRPr="00763D47">
              <w:t>The existing flows D0242/D0315 map to the D0030/ D0314. The aggregated consumption data is presented on the D0030/ D0314 flows by Standard Settlement Configurations (SSCs) and Time Pattern Regimes. This structure is picked up in the D0242/D0315. The aggregated consumption is converted to DUoS charges which are presented on these flows to Suppliers and Embedded Networks.</w:t>
            </w:r>
          </w:p>
          <w:p w14:paraId="193F0008" w14:textId="211BD830" w:rsidR="004B6660" w:rsidRDefault="004B6660" w:rsidP="009C437E">
            <w:pPr>
              <w:pStyle w:val="MHHSBody"/>
            </w:pPr>
            <w:r w:rsidRPr="00763D47">
              <w:t>From the point of Transition Go-Live the Distributors will continue to receive the D0030/ D0314 from the SVAA for non-migrated NHH MPANs and customers in Measurement Class F and G. They will also receive the ELX-REP-002 ‘LDSO or Supplier report for DUoS – aggregated data’ and the ELX-REP-002A ‘Embedded Network report for DUoS – aggregated data’ over the DIP, for whole current MPANs, from the SVAA. The replacement flow(s) proposed will provide the equivalent charging data to the D0242/D0315. Suppliers and Embedded Networks will need to aggregate the DUoS charges on the DTN and DIP flows to understand their total charges until all MPANs on the Network have been migrated.</w:t>
            </w:r>
          </w:p>
        </w:tc>
      </w:tr>
      <w:tr w:rsidR="009D5B37" w14:paraId="3C8E66E6" w14:textId="77777777" w:rsidTr="0015686B">
        <w:trPr>
          <w:trHeight w:val="919"/>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55446974" w14:textId="7133FB31" w:rsidR="00D07618" w:rsidRDefault="0088434D" w:rsidP="009C437E">
            <w:pPr>
              <w:pStyle w:val="MHHSBody"/>
            </w:pPr>
            <w:r>
              <w:t xml:space="preserve">The change is required in order to continue to operate the supercustomer DUoS </w:t>
            </w:r>
            <w:r w:rsidR="00F06261">
              <w:t xml:space="preserve">billing </w:t>
            </w:r>
            <w:r>
              <w:t>process in the MHHS environment.</w:t>
            </w:r>
          </w:p>
        </w:tc>
      </w:tr>
      <w:tr w:rsidR="009D5B37" w14:paraId="4937AE4F" w14:textId="77777777" w:rsidTr="00E620EC">
        <w:trPr>
          <w:trHeight w:val="1515"/>
        </w:trPr>
        <w:tc>
          <w:tcPr>
            <w:tcW w:w="10680" w:type="dxa"/>
            <w:gridSpan w:val="2"/>
            <w:vAlign w:val="top"/>
          </w:tcPr>
          <w:p w14:paraId="144D6504" w14:textId="39C72F0D" w:rsidR="00BA4845" w:rsidRPr="009C437E" w:rsidRDefault="00D07618" w:rsidP="00BA4845">
            <w:pPr>
              <w:pStyle w:val="MHHSBody"/>
              <w:spacing w:after="20" w:line="0" w:lineRule="atLeast"/>
              <w:rPr>
                <w:b/>
                <w:bCs/>
              </w:rPr>
            </w:pPr>
            <w:r w:rsidRPr="00960D82">
              <w:rPr>
                <w:b/>
                <w:bCs/>
              </w:rPr>
              <w:t>Consequences of no change</w:t>
            </w:r>
            <w:r w:rsidR="0058313A" w:rsidRPr="00960D82">
              <w:rPr>
                <w:b/>
                <w:bCs/>
              </w:rPr>
              <w:t>:</w:t>
            </w:r>
          </w:p>
          <w:p w14:paraId="1D0A24D4" w14:textId="052554A0" w:rsidR="009D1203" w:rsidRDefault="009C437E" w:rsidP="009C437E">
            <w:pPr>
              <w:pStyle w:val="MHHSBody"/>
            </w:pPr>
            <w:r>
              <w:t>In the absence of the development of a DIP flow, work will need to be undertaken to</w:t>
            </w:r>
            <w:r w:rsidR="009D1203">
              <w:t xml:space="preserve"> </w:t>
            </w:r>
            <w:r w:rsidR="009455ED">
              <w:t xml:space="preserve">create </w:t>
            </w:r>
            <w:r w:rsidR="00F06261">
              <w:t xml:space="preserve">one or more </w:t>
            </w:r>
            <w:r w:rsidR="009455ED">
              <w:t>new</w:t>
            </w:r>
            <w:r>
              <w:t xml:space="preserve"> DTN</w:t>
            </w:r>
            <w:r w:rsidR="00F06261">
              <w:t xml:space="preserve"> flows</w:t>
            </w:r>
            <w:r>
              <w:t>. This may result in duplicate</w:t>
            </w:r>
            <w:r w:rsidR="008F0B71">
              <w:t>d</w:t>
            </w:r>
            <w:r>
              <w:t xml:space="preserve"> effort and inefficiency if/when, at a future date, the decision is made to move from the DTN flow</w:t>
            </w:r>
            <w:r w:rsidR="008F0B71">
              <w:t>s</w:t>
            </w:r>
            <w:r>
              <w:t xml:space="preserve"> to a DIP flow. </w:t>
            </w:r>
          </w:p>
          <w:p w14:paraId="3E0E64A4" w14:textId="67AA298A" w:rsidR="00D07618" w:rsidRPr="00960D82" w:rsidRDefault="009C437E" w:rsidP="00020C01">
            <w:pPr>
              <w:pStyle w:val="MHHSBody"/>
            </w:pPr>
            <w:r>
              <w:t xml:space="preserve">Failure to provide a solution via either the DIP or DTN will result in </w:t>
            </w:r>
            <w:r w:rsidR="00020C01">
              <w:t>the inability to</w:t>
            </w:r>
            <w:r>
              <w:t xml:space="preserve"> operat</w:t>
            </w:r>
            <w:r w:rsidR="00020C01">
              <w:t>e</w:t>
            </w:r>
            <w:r>
              <w:t xml:space="preserve"> the supercustomer DUoS </w:t>
            </w:r>
            <w:r w:rsidR="009427EA">
              <w:t xml:space="preserve">billing </w:t>
            </w:r>
            <w:r>
              <w:t xml:space="preserve">process </w:t>
            </w:r>
            <w:r w:rsidR="0040490B">
              <w:t xml:space="preserve">for migrated customers </w:t>
            </w:r>
            <w:r w:rsidR="00020C01">
              <w:t>(</w:t>
            </w:r>
            <w:r w:rsidR="0040490B">
              <w:t>resulting in</w:t>
            </w:r>
            <w:r w:rsidR="00020C01">
              <w:t xml:space="preserve"> breach of DCUSA)</w:t>
            </w:r>
            <w:r w:rsidR="009427EA">
              <w:t xml:space="preserve">, </w:t>
            </w:r>
            <w:r w:rsidR="004C14FC">
              <w:t>particularly as regards</w:t>
            </w:r>
            <w:r w:rsidR="009427EA">
              <w:t xml:space="preserve"> </w:t>
            </w:r>
            <w:r w:rsidR="004C14FC">
              <w:t>validation of DUoS invoices.</w:t>
            </w:r>
          </w:p>
        </w:tc>
      </w:tr>
      <w:tr w:rsidR="00672D21" w14:paraId="5BEB428A" w14:textId="77777777" w:rsidTr="0015686B">
        <w:trPr>
          <w:trHeight w:val="1061"/>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lastRenderedPageBreak/>
              <w:t>Alternative options:</w:t>
            </w:r>
          </w:p>
          <w:p w14:paraId="767404DB" w14:textId="1F3426A9" w:rsidR="00D94CB0" w:rsidRPr="009C437E" w:rsidRDefault="009C437E" w:rsidP="00BA4845">
            <w:pPr>
              <w:pStyle w:val="MHHSBody"/>
              <w:spacing w:after="20" w:line="0" w:lineRule="atLeast"/>
              <w:rPr>
                <w:bCs/>
              </w:rPr>
            </w:pPr>
            <w:r w:rsidRPr="009C437E">
              <w:rPr>
                <w:bCs/>
              </w:rPr>
              <w:t>The development of a DTN flow was considered and discounted as part of the DCUSA DCP 415 Working Group, due to the inefficiencies associated with this approach (i.e. the likelihood of a DIP flow being created in the future, wasting the effort in creating a DTN flow)</w:t>
            </w:r>
            <w:r w:rsidR="009455ED">
              <w:rPr>
                <w:bCs/>
              </w:rPr>
              <w:t>.</w:t>
            </w: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634FC914" w14:textId="77777777" w:rsidR="00D94CB0" w:rsidRDefault="009C437E" w:rsidP="00BA4845">
            <w:pPr>
              <w:pStyle w:val="MHHSBody"/>
              <w:spacing w:after="20" w:line="0" w:lineRule="atLeast"/>
              <w:rPr>
                <w:bCs/>
              </w:rPr>
            </w:pPr>
            <w:r w:rsidRPr="000D3DC1">
              <w:rPr>
                <w:bCs/>
              </w:rPr>
              <w:t xml:space="preserve">There is a time-related risk as delays in creating a suitable flow will impact upon the supercustomer DUoS process </w:t>
            </w:r>
            <w:r w:rsidR="000D3DC1" w:rsidRPr="000D3DC1">
              <w:rPr>
                <w:bCs/>
              </w:rPr>
              <w:t>once MHHS migration has begun</w:t>
            </w:r>
            <w:r w:rsidR="000E18A6">
              <w:rPr>
                <w:bCs/>
              </w:rPr>
              <w:t xml:space="preserve"> and cause breaches of DCUSA</w:t>
            </w:r>
            <w:r w:rsidR="000D3DC1" w:rsidRPr="000D3DC1">
              <w:rPr>
                <w:bCs/>
              </w:rPr>
              <w:t>.</w:t>
            </w:r>
          </w:p>
          <w:p w14:paraId="61D6CFE3" w14:textId="3A0AAC1F" w:rsidR="00997730" w:rsidRPr="000D3DC1" w:rsidRDefault="00997730" w:rsidP="00BA4845">
            <w:pPr>
              <w:pStyle w:val="MHHSBody"/>
              <w:spacing w:after="20" w:line="0" w:lineRule="atLeast"/>
              <w:rPr>
                <w:bCs/>
              </w:rPr>
            </w:pPr>
            <w:r>
              <w:rPr>
                <w:bCs/>
              </w:rPr>
              <w:t>Note there will be a lead time in adapting billing systems to create the new flow and so certainty as to its content is required</w:t>
            </w:r>
            <w:r w:rsidR="00DB03A1">
              <w:rPr>
                <w:bCs/>
              </w:rPr>
              <w:t xml:space="preserve"> soonest.</w:t>
            </w:r>
            <w:r w:rsidR="00914C25">
              <w:rPr>
                <w:bCs/>
              </w:rPr>
              <w:t xml:space="preserve">  There </w:t>
            </w:r>
            <w:r w:rsidR="004F1E49">
              <w:rPr>
                <w:bCs/>
              </w:rPr>
              <w:t>is likely to</w:t>
            </w:r>
            <w:r w:rsidR="00914C25">
              <w:rPr>
                <w:bCs/>
              </w:rPr>
              <w:t xml:space="preserve"> be a lead time in amending the DIP service to update for the new flow</w:t>
            </w:r>
            <w:r w:rsidR="00D83DCB">
              <w:rPr>
                <w:bCs/>
              </w:rPr>
              <w:t xml:space="preserve"> therefore there is a risk that DIP delivery is extended</w:t>
            </w:r>
            <w:r w:rsidR="00914C25">
              <w:rPr>
                <w:bCs/>
              </w:rPr>
              <w:t>.</w:t>
            </w:r>
          </w:p>
        </w:tc>
      </w:tr>
      <w:tr w:rsidR="00593C2D" w14:paraId="44045F1C" w14:textId="77777777" w:rsidTr="0015686B">
        <w:trPr>
          <w:trHeight w:val="115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0AB7B0C0" w14:textId="274BB153" w:rsidR="00D94CB0" w:rsidRPr="00CA36DA" w:rsidRDefault="000D3DC1" w:rsidP="00BA4845">
            <w:pPr>
              <w:pStyle w:val="MHHSBody"/>
              <w:spacing w:after="20" w:line="0" w:lineRule="atLeast"/>
              <w:rPr>
                <w:bCs/>
              </w:rPr>
            </w:pPr>
            <w:r w:rsidRPr="00CA36DA">
              <w:rPr>
                <w:bCs/>
              </w:rPr>
              <w:t xml:space="preserve">DNOs and Supplier stakeholders have been proactively consulted with as part of the DCUSA DCP 415 Working Group which was </w:t>
            </w:r>
            <w:r w:rsidR="00CA36DA" w:rsidRPr="00CA36DA">
              <w:rPr>
                <w:bCs/>
              </w:rPr>
              <w:t>formed to agree a solution to this issue.</w:t>
            </w:r>
            <w:r w:rsidR="00DB03A1">
              <w:rPr>
                <w:bCs/>
              </w:rPr>
              <w:t xml:space="preserve"> The desired flow structure has been developed.by this group.</w:t>
            </w: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6A5821AC" w:rsidR="00E86758" w:rsidRDefault="00245487" w:rsidP="00CB0714">
            <w:pPr>
              <w:pStyle w:val="MHHSBody"/>
            </w:pPr>
            <w:r w:rsidRPr="0015686B">
              <w:t>ASAP</w:t>
            </w:r>
            <w:r w:rsidR="004F1E49">
              <w:t xml:space="preserve"> – implementation</w:t>
            </w:r>
            <w:r w:rsidR="00392525">
              <w:t xml:space="preserve"> within </w:t>
            </w:r>
            <w:r w:rsidR="00C70B6D">
              <w:t>MHHSP</w:t>
            </w:r>
            <w:r w:rsidR="004F1E49">
              <w:t xml:space="preserve"> required before migration commences (M11)</w:t>
            </w:r>
            <w:r w:rsidR="00C70B6D">
              <w:t xml:space="preserve"> with enough lead time </w:t>
            </w:r>
            <w:r w:rsidR="00710906">
              <w:t>for LDSOs and Suppliers to update DUoS billing systems and validation systems in advance</w:t>
            </w:r>
          </w:p>
        </w:tc>
      </w:tr>
    </w:tbl>
    <w:p w14:paraId="28AE54EB" w14:textId="617A0BA0" w:rsidR="002D533B" w:rsidRPr="0015686B" w:rsidRDefault="00250039" w:rsidP="0015686B">
      <w:pPr>
        <w:spacing w:after="160" w:line="259" w:lineRule="auto"/>
        <w:rPr>
          <w:rFonts w:ascii="Arial" w:hAnsi="Arial" w:cs="Arial"/>
          <w:b/>
          <w:bCs/>
          <w:color w:val="5161FC" w:themeColor="accent1"/>
          <w:szCs w:val="20"/>
        </w:rPr>
      </w:pPr>
      <w:r w:rsidRPr="0015686B">
        <w:rPr>
          <w:b/>
          <w:bCs/>
          <w:color w:val="5161FC" w:themeColor="accent1"/>
          <w:szCs w:val="20"/>
        </w:rPr>
        <w:t xml:space="preserve">Part B – </w:t>
      </w:r>
      <w:r w:rsidR="00BF721F" w:rsidRPr="0015686B">
        <w:rPr>
          <w:b/>
          <w:bCs/>
          <w:color w:val="5161FC" w:themeColor="accent1"/>
          <w:szCs w:val="20"/>
        </w:rPr>
        <w:t>Initial Impact</w:t>
      </w:r>
      <w:r w:rsidRPr="0015686B">
        <w:rPr>
          <w:b/>
          <w:bCs/>
          <w:color w:val="5161FC" w:themeColor="accent1"/>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0A18EE24" w14:textId="25F94B59" w:rsidR="00D51932" w:rsidRDefault="00F36043" w:rsidP="00651F24">
            <w:pPr>
              <w:pStyle w:val="MHHSBody"/>
            </w:pPr>
            <w:r>
              <w:t xml:space="preserve">Continued operation of the </w:t>
            </w:r>
            <w:r w:rsidRPr="00F36043">
              <w:t>supercustomer DUoS process once MHHS migration has begun</w:t>
            </w:r>
            <w:r w:rsidR="00D04DC7">
              <w:t>, allowing distributors to recover their revenue and maintain the network.</w:t>
            </w:r>
          </w:p>
          <w:p w14:paraId="7F0C3358" w14:textId="2A13E8C8" w:rsidR="00F36043" w:rsidRDefault="00F36043" w:rsidP="00651F24">
            <w:pPr>
              <w:pStyle w:val="MHHSBody"/>
            </w:pPr>
            <w:r>
              <w:t xml:space="preserve">Efficient investment of time and effort in the creation of a DIP flow, as opposed to the creation of </w:t>
            </w:r>
            <w:r w:rsidR="005E7ED4">
              <w:t>one or more</w:t>
            </w:r>
            <w:r>
              <w:t xml:space="preserve"> DTN flow</w:t>
            </w:r>
            <w:r w:rsidR="005E7ED4">
              <w:t>s</w:t>
            </w:r>
            <w:r>
              <w:t xml:space="preserve"> that may, in the future, be replaced in favour of a DIP flow.</w:t>
            </w:r>
          </w:p>
          <w:p w14:paraId="02EF716C" w14:textId="585C8E68" w:rsidR="00F36043" w:rsidRDefault="00F36043" w:rsidP="00651F24">
            <w:pPr>
              <w:pStyle w:val="MHHSBody"/>
            </w:pPr>
            <w:r>
              <w:t>Clean cutover of data transferred using the DTN to the DIP as the migration progresses. (Data for migrated cust</w:t>
            </w:r>
            <w:r w:rsidR="00DC7633">
              <w:t>o</w:t>
            </w:r>
            <w:r>
              <w:t>mers would cease to be contained in the DTN flow and be found in the DIP flow.)</w:t>
            </w:r>
          </w:p>
          <w:p w14:paraId="20F87222" w14:textId="11C7E392" w:rsidR="00C73084" w:rsidRDefault="00C73084" w:rsidP="00651F24">
            <w:pPr>
              <w:pStyle w:val="MHHSBody"/>
            </w:pPr>
            <w:r>
              <w:t xml:space="preserve">The impact on the programme is low as </w:t>
            </w:r>
            <w:r w:rsidR="00CD5FF7">
              <w:t>i</w:t>
            </w:r>
            <w:r>
              <w:t xml:space="preserve">t is seen as the delivery of the flow specification and the </w:t>
            </w:r>
            <w:r w:rsidR="00F71E6A">
              <w:t>associated entities into relevant catalogues. However the impact on distributors and suppliers is high as this is a key part of the established DUoS billing and validation process</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6E872282" w:rsidR="002B04D8" w:rsidRDefault="00DA362C" w:rsidP="00151F9B">
            <w:pPr>
              <w:pStyle w:val="MHHSBody"/>
            </w:pPr>
            <w:r>
              <w:t xml:space="preserve">The introduction of a DIP flow to replace the current D0242 flow supports this objective, by bringing into the DIP the transfer of </w:t>
            </w:r>
            <w:r w:rsidR="00927E94">
              <w:t>consumption</w:t>
            </w:r>
            <w:r w:rsidR="00B720EB">
              <w:t>/billing</w:t>
            </w:r>
            <w:r w:rsidR="00927E94">
              <w:t xml:space="preserve"> </w:t>
            </w:r>
            <w:r>
              <w:t xml:space="preserve">data used for </w:t>
            </w:r>
            <w:r w:rsidR="00EC6839">
              <w:t xml:space="preserve">revenue recovery through the </w:t>
            </w:r>
            <w:r w:rsidR="00EC6839" w:rsidRPr="00EC6839">
              <w:t xml:space="preserve">supercustomer DUoS </w:t>
            </w:r>
            <w:r w:rsidR="00EC6839">
              <w:t>process.</w:t>
            </w:r>
            <w:r w:rsidR="00742DC4">
              <w:t xml:space="preserve"> This is core to the meter to bank aspect of distributors’ revenue.</w:t>
            </w:r>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7F59A11D" w:rsidR="002B04D8" w:rsidRDefault="001430EC" w:rsidP="00151F9B">
            <w:pPr>
              <w:pStyle w:val="MHHSBody"/>
            </w:pPr>
            <w:r>
              <w:t>N/A</w:t>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49F2B6BF" w:rsidR="00151F9B" w:rsidRDefault="001430EC" w:rsidP="00151F9B">
            <w:pPr>
              <w:pStyle w:val="MHHSBody"/>
            </w:pPr>
            <w:r>
              <w:t>N/A</w:t>
            </w:r>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099665A9" w:rsidR="00151F9B" w:rsidRDefault="002334E0" w:rsidP="00151F9B">
            <w:pPr>
              <w:pStyle w:val="MHHSBody"/>
            </w:pPr>
            <w:r>
              <w:t>While this change does not cause the MHHS implementation to be impacted, implementation without this change would materially impact parties financially.</w:t>
            </w:r>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lastRenderedPageBreak/>
              <w:t>To deliver programme capabilities and outcomes to enable the realisation of benefits in compliance with Ofgem’s Full Business Case</w:t>
            </w:r>
          </w:p>
        </w:tc>
        <w:tc>
          <w:tcPr>
            <w:tcW w:w="5628" w:type="dxa"/>
            <w:vAlign w:val="top"/>
          </w:tcPr>
          <w:p w14:paraId="0FBF274A" w14:textId="4C148302" w:rsidR="00151F9B" w:rsidRDefault="002334E0" w:rsidP="00151F9B">
            <w:pPr>
              <w:pStyle w:val="MHHSBody"/>
            </w:pPr>
            <w:r>
              <w:t>N/A</w:t>
            </w:r>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221CF5F5" w:rsidR="00151F9B" w:rsidRDefault="005D18CB" w:rsidP="00151F9B">
            <w:pPr>
              <w:pStyle w:val="MHHSBody"/>
            </w:pPr>
            <w:r>
              <w:t>N/A</w:t>
            </w:r>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6D8D010B" w:rsidR="00CF3F69" w:rsidRDefault="002A70BE" w:rsidP="00250039">
            <w:pPr>
              <w:pStyle w:val="MHHSBody"/>
            </w:pPr>
            <w:r>
              <w:t>Distributors, Suppliers</w:t>
            </w:r>
            <w:r w:rsidR="00D05839">
              <w:t>, DIP Provider</w:t>
            </w:r>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06B14DAF" w:rsidR="00CF3F69" w:rsidRDefault="00737E06" w:rsidP="00250039">
            <w:pPr>
              <w:pStyle w:val="MHHSBody"/>
            </w:pPr>
            <w:r>
              <w:t>Data Item lists</w:t>
            </w:r>
            <w:r w:rsidR="0017442D">
              <w:t>/definitions</w:t>
            </w:r>
            <w:r w:rsidR="0034134B">
              <w:t>, REP catalogue</w:t>
            </w:r>
            <w:r w:rsidR="0017442D">
              <w:t xml:space="preserve"> lists</w:t>
            </w:r>
            <w:r w:rsidR="00934096">
              <w:t>, MHHS design deliverables (consequential impact on testing deliverables and Code drafting)</w:t>
            </w:r>
            <w:r w:rsidR="009E6D71">
              <w:t>, DIP service</w:t>
            </w:r>
          </w:p>
        </w:tc>
      </w:tr>
      <w:tr w:rsidR="006F0122" w14:paraId="1FB0121C" w14:textId="77777777" w:rsidTr="003A54C8">
        <w:trPr>
          <w:trHeight w:val="860"/>
        </w:trPr>
        <w:tc>
          <w:tcPr>
            <w:tcW w:w="1980" w:type="dxa"/>
            <w:shd w:val="clear" w:color="auto" w:fill="F2F2F2" w:themeFill="background1" w:themeFillShade="F2"/>
          </w:tcPr>
          <w:p w14:paraId="28836096" w14:textId="570088D6" w:rsidR="006F0122" w:rsidRDefault="00294252" w:rsidP="00250039">
            <w:pPr>
              <w:pStyle w:val="MHHSBody"/>
            </w:pPr>
            <w:r>
              <w:t xml:space="preserve"> </w:t>
            </w:r>
            <w:r w:rsidR="006F0122">
              <w:t>Impacted Milestones</w:t>
            </w:r>
          </w:p>
        </w:tc>
        <w:tc>
          <w:tcPr>
            <w:tcW w:w="8605" w:type="dxa"/>
          </w:tcPr>
          <w:p w14:paraId="531D220C" w14:textId="3C720E83" w:rsidR="004E5557" w:rsidRPr="0054131D" w:rsidRDefault="00793AFD" w:rsidP="00250039">
            <w:pPr>
              <w:pStyle w:val="MHHSBody"/>
              <w:rPr>
                <w:i/>
                <w:iCs/>
              </w:rPr>
            </w:pPr>
            <w:r w:rsidRPr="00793AFD">
              <w:t>No</w:t>
            </w:r>
            <w:r w:rsidR="00834D44">
              <w:t>t known at this stage until Impact Assessment received</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1975"/>
        <w:gridCol w:w="3038"/>
        <w:gridCol w:w="2351"/>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180D45">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1986" w:type="dxa"/>
          </w:tcPr>
          <w:p w14:paraId="6AFE7378" w14:textId="1BC08770" w:rsidR="004D0669" w:rsidRDefault="00CB0B9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0" w:name="Dropdown1"/>
            <w:r>
              <w:instrText xml:space="preserve"> FORMDROPDOWN </w:instrText>
            </w:r>
            <w:r w:rsidR="00000000">
              <w:fldChar w:fldCharType="separate"/>
            </w:r>
            <w:r>
              <w:fldChar w:fldCharType="end"/>
            </w:r>
            <w:bookmarkEnd w:id="0"/>
          </w:p>
        </w:tc>
        <w:tc>
          <w:tcPr>
            <w:tcW w:w="3197" w:type="dxa"/>
            <w:shd w:val="clear" w:color="auto" w:fill="F2F2F2" w:themeFill="background1" w:themeFillShade="F2"/>
          </w:tcPr>
          <w:p w14:paraId="3EA0AFC4" w14:textId="77777777" w:rsidR="004D0669" w:rsidRDefault="004D0669" w:rsidP="005A4D7B">
            <w:pPr>
              <w:pStyle w:val="MHHSBody"/>
            </w:pPr>
            <w:r>
              <w:t>Expected lead time</w:t>
            </w:r>
          </w:p>
        </w:tc>
        <w:tc>
          <w:tcPr>
            <w:tcW w:w="1956" w:type="dxa"/>
          </w:tcPr>
          <w:p w14:paraId="3583BEB5" w14:textId="61EACBAE" w:rsidR="004D0669" w:rsidRDefault="00004FE7" w:rsidP="005A4D7B">
            <w:pPr>
              <w:pStyle w:val="MHHSBody"/>
            </w:pPr>
            <w:r>
              <w:fldChar w:fldCharType="begin">
                <w:ffData>
                  <w:name w:val="Dropdown4"/>
                  <w:enabled/>
                  <w:calcOnExit/>
                  <w:ddList>
                    <w:listEntry w:val="3 - 10 - 20 working days"/>
                  </w:ddList>
                </w:ffData>
              </w:fldChar>
            </w:r>
            <w:bookmarkStart w:id="1" w:name="Dropdown4"/>
            <w:r>
              <w:instrText xml:space="preserve"> FORMDROPDOWN </w:instrText>
            </w:r>
            <w:r w:rsidR="00000000">
              <w:fldChar w:fldCharType="separate"/>
            </w:r>
            <w:r>
              <w:fldChar w:fldCharType="end"/>
            </w:r>
            <w:bookmarkEnd w:id="1"/>
          </w:p>
        </w:tc>
      </w:tr>
      <w:tr w:rsidR="004D0669" w14:paraId="09511D9D" w14:textId="77777777" w:rsidTr="00180D45">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1986" w:type="dxa"/>
          </w:tcPr>
          <w:p w14:paraId="3F2A0BB9" w14:textId="6D17F6F5" w:rsidR="004D0669" w:rsidRDefault="00180D45"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2" w:name="Dropdown2"/>
            <w:r>
              <w:instrText xml:space="preserve"> FORMDROPDOWN </w:instrText>
            </w:r>
            <w:r w:rsidR="00000000">
              <w:fldChar w:fldCharType="separate"/>
            </w:r>
            <w:r>
              <w:fldChar w:fldCharType="end"/>
            </w:r>
            <w:bookmarkEnd w:id="2"/>
          </w:p>
        </w:tc>
        <w:tc>
          <w:tcPr>
            <w:tcW w:w="3197"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956" w:type="dxa"/>
            <w:tcBorders>
              <w:bottom w:val="single" w:sz="4" w:space="0" w:color="auto"/>
            </w:tcBorders>
          </w:tcPr>
          <w:p w14:paraId="559D2995" w14:textId="1BA1C187" w:rsidR="004D0669" w:rsidRDefault="00004FE7" w:rsidP="005A4D7B">
            <w:pPr>
              <w:pStyle w:val="MHHSBody"/>
            </w:pPr>
            <w:r>
              <w:fldChar w:fldCharType="begin">
                <w:ffData>
                  <w:name w:val="Dropdown5"/>
                  <w:enabled/>
                  <w:calcOnExit w:val="0"/>
                  <w:ddList>
                    <w:listEntry w:val="2 - Short"/>
                  </w:ddList>
                </w:ffData>
              </w:fldChar>
            </w:r>
            <w:bookmarkStart w:id="3" w:name="Dropdown5"/>
            <w:r>
              <w:instrText xml:space="preserve"> FORMDROPDOWN </w:instrText>
            </w:r>
            <w:r w:rsidR="00000000">
              <w:fldChar w:fldCharType="separate"/>
            </w:r>
            <w:r>
              <w:fldChar w:fldCharType="end"/>
            </w:r>
            <w:bookmarkEnd w:id="3"/>
          </w:p>
        </w:tc>
      </w:tr>
      <w:tr w:rsidR="004D0669" w14:paraId="0CA1C164" w14:textId="77777777" w:rsidTr="00180D45">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1986" w:type="dxa"/>
            <w:tcBorders>
              <w:right w:val="single" w:sz="4" w:space="0" w:color="auto"/>
            </w:tcBorders>
          </w:tcPr>
          <w:p w14:paraId="2B944611" w14:textId="77777777" w:rsidR="004D0669" w:rsidRDefault="004D0669" w:rsidP="005A4D7B">
            <w:pPr>
              <w:pStyle w:val="MHHSBody"/>
            </w:pPr>
            <w:r>
              <w:fldChar w:fldCharType="begin">
                <w:ffData>
                  <w:name w:val="Dropdown3"/>
                  <w:enabled/>
                  <w:calcOnExit w:val="0"/>
                  <w:ddList>
                    <w:listEntry w:val="Very Low"/>
                    <w:listEntry w:val="Low"/>
                    <w:listEntry w:val="Medium"/>
                    <w:listEntry w:val="High"/>
                  </w:ddList>
                </w:ffData>
              </w:fldChar>
            </w:r>
            <w:bookmarkStart w:id="4" w:name="Dropdown3"/>
            <w:r>
              <w:instrText xml:space="preserve"> FORMDROPDOWN </w:instrText>
            </w:r>
            <w:r w:rsidR="00000000">
              <w:fldChar w:fldCharType="separate"/>
            </w:r>
            <w:r>
              <w:fldChar w:fldCharType="end"/>
            </w:r>
            <w:bookmarkEnd w:id="4"/>
          </w:p>
        </w:tc>
        <w:tc>
          <w:tcPr>
            <w:tcW w:w="3197"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956"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154C8A89" w:rsidR="001A7E27" w:rsidRPr="00F94CF8" w:rsidRDefault="003E4399" w:rsidP="00C62FEC">
            <w:pPr>
              <w:pStyle w:val="MHHSBody"/>
              <w:rPr>
                <w:rFonts w:cstheme="minorHAnsi"/>
                <w:szCs w:val="20"/>
              </w:rPr>
            </w:pPr>
            <w:r>
              <w:rPr>
                <w:rFonts w:cstheme="minorHAnsi"/>
                <w:szCs w:val="20"/>
              </w:rPr>
              <w:t>DCUSA change DCP415</w:t>
            </w:r>
            <w:r w:rsidR="00455E1B">
              <w:rPr>
                <w:rFonts w:cstheme="minorHAnsi"/>
                <w:szCs w:val="20"/>
              </w:rPr>
              <w:t xml:space="preserve"> </w:t>
            </w:r>
          </w:p>
        </w:tc>
        <w:tc>
          <w:tcPr>
            <w:tcW w:w="4587" w:type="dxa"/>
            <w:tcBorders>
              <w:left w:val="single" w:sz="4" w:space="0" w:color="auto"/>
              <w:right w:val="single" w:sz="4" w:space="0" w:color="auto"/>
            </w:tcBorders>
          </w:tcPr>
          <w:p w14:paraId="10646BA0" w14:textId="2ACC4544" w:rsidR="001A7E27" w:rsidRPr="00F94CF8" w:rsidRDefault="00000000" w:rsidP="00C62FEC">
            <w:pPr>
              <w:pStyle w:val="MHHSBody"/>
              <w:rPr>
                <w:rFonts w:cstheme="minorHAnsi"/>
                <w:b/>
                <w:bCs/>
                <w:i/>
                <w:iCs/>
                <w:szCs w:val="20"/>
                <w:u w:val="single"/>
              </w:rPr>
            </w:pPr>
            <w:hyperlink r:id="rId11" w:history="1">
              <w:r w:rsidR="00C30F49">
                <w:rPr>
                  <w:rStyle w:val="Hyperlink"/>
                </w:rPr>
                <w:t>Replacement of D0242/D0315 for MHHS - DCUSA</w:t>
              </w:r>
            </w:hyperlink>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4A66B521" w:rsidR="001A7E27" w:rsidRPr="00F94CF8" w:rsidRDefault="0015686B" w:rsidP="00C62FEC">
            <w:pPr>
              <w:pStyle w:val="MHHSBody"/>
              <w:rPr>
                <w:rFonts w:cstheme="minorHAnsi"/>
                <w:szCs w:val="20"/>
              </w:rPr>
            </w:pPr>
            <w:r>
              <w:rPr>
                <w:rFonts w:cstheme="minorHAnsi"/>
                <w:szCs w:val="20"/>
              </w:rPr>
              <w:t>A</w:t>
            </w:r>
            <w:r w:rsidR="00C30F49">
              <w:rPr>
                <w:rFonts w:cstheme="minorHAnsi"/>
                <w:szCs w:val="20"/>
              </w:rPr>
              <w:t>ttached flow specification</w:t>
            </w: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6D1AADC1" w14:textId="77777777" w:rsidR="007B7230" w:rsidRDefault="00BD0DFB" w:rsidP="004D272C">
            <w:pPr>
              <w:pStyle w:val="MHHSBody"/>
              <w:rPr>
                <w:rFonts w:cstheme="minorHAnsi"/>
                <w:i/>
                <w:iCs/>
                <w:color w:val="041425" w:themeColor="text1"/>
                <w:szCs w:val="20"/>
              </w:rPr>
            </w:pPr>
            <w:r w:rsidRPr="000D62A3">
              <w:rPr>
                <w:rFonts w:cstheme="minorHAnsi"/>
                <w:i/>
                <w:iCs/>
                <w:color w:val="041425" w:themeColor="text1"/>
                <w:szCs w:val="20"/>
              </w:rPr>
              <w:t xml:space="preserve">While the core MHHS programme benefits are not directly impacted, </w:t>
            </w:r>
            <w:r w:rsidR="00DA3E26" w:rsidRPr="000D62A3">
              <w:rPr>
                <w:rFonts w:cstheme="minorHAnsi"/>
                <w:i/>
                <w:iCs/>
                <w:color w:val="041425" w:themeColor="text1"/>
                <w:szCs w:val="20"/>
              </w:rPr>
              <w:t>making this change has a material benefit to distributors</w:t>
            </w:r>
            <w:r w:rsidR="000D62A3" w:rsidRPr="000D62A3">
              <w:rPr>
                <w:rFonts w:cstheme="minorHAnsi"/>
                <w:i/>
                <w:iCs/>
                <w:color w:val="041425" w:themeColor="text1"/>
                <w:szCs w:val="20"/>
              </w:rPr>
              <w:t>/LDSOs</w:t>
            </w:r>
            <w:r w:rsidR="00DA3E26" w:rsidRPr="000D62A3">
              <w:rPr>
                <w:rFonts w:cstheme="minorHAnsi"/>
                <w:i/>
                <w:iCs/>
                <w:color w:val="041425" w:themeColor="text1"/>
                <w:szCs w:val="20"/>
              </w:rPr>
              <w:t xml:space="preserve"> and suppliers</w:t>
            </w:r>
            <w:r w:rsidR="00CD13BC" w:rsidRPr="000D62A3">
              <w:rPr>
                <w:rFonts w:cstheme="minorHAnsi"/>
                <w:i/>
                <w:iCs/>
                <w:color w:val="041425" w:themeColor="text1"/>
                <w:szCs w:val="20"/>
              </w:rPr>
              <w:t>.</w:t>
            </w:r>
            <w:r w:rsidR="00C735CD">
              <w:rPr>
                <w:rFonts w:cstheme="minorHAnsi"/>
                <w:i/>
                <w:iCs/>
                <w:color w:val="041425" w:themeColor="text1"/>
                <w:szCs w:val="20"/>
              </w:rPr>
              <w:t xml:space="preserve"> Distributors will benefit by ensuring their cashflow is maintained, suppliers will benefit by continuing to be able to validate invoices in the current manner.</w:t>
            </w:r>
          </w:p>
          <w:p w14:paraId="4B0E24DB" w14:textId="600CFB89" w:rsidR="0015686B" w:rsidRPr="007B7230" w:rsidRDefault="0015686B" w:rsidP="004D272C">
            <w:pPr>
              <w:pStyle w:val="MHHSBody"/>
              <w:rPr>
                <w:rFonts w:cstheme="minorHAnsi"/>
                <w:i/>
                <w:iCs/>
                <w:color w:val="041425" w:themeColor="text1"/>
                <w:szCs w:val="20"/>
              </w:rPr>
            </w:pP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4E54687" w14:textId="6018F89E" w:rsidR="00CD1DDD" w:rsidRPr="005B7D3A" w:rsidRDefault="000D62A3" w:rsidP="00214B3C">
            <w:pPr>
              <w:pStyle w:val="MHHSBody"/>
              <w:rPr>
                <w:rFonts w:cstheme="minorHAnsi"/>
                <w:i/>
                <w:iCs/>
                <w:color w:val="041425" w:themeColor="text1"/>
                <w:szCs w:val="20"/>
              </w:rPr>
            </w:pPr>
            <w:r>
              <w:rPr>
                <w:rFonts w:cstheme="minorHAnsi"/>
                <w:i/>
                <w:iCs/>
                <w:color w:val="041425" w:themeColor="text1"/>
                <w:szCs w:val="20"/>
              </w:rPr>
              <w:t>No direct effect</w:t>
            </w:r>
            <w:r w:rsidR="00DC7845">
              <w:rPr>
                <w:rFonts w:cstheme="minorHAnsi"/>
                <w:i/>
                <w:iCs/>
                <w:color w:val="041425" w:themeColor="text1"/>
                <w:szCs w:val="20"/>
              </w:rPr>
              <w:t>.  There may be an indirect impact</w:t>
            </w:r>
            <w:r w:rsidR="00FB6D88">
              <w:rPr>
                <w:rFonts w:cstheme="minorHAnsi"/>
                <w:i/>
                <w:iCs/>
                <w:color w:val="041425" w:themeColor="text1"/>
                <w:szCs w:val="20"/>
              </w:rPr>
              <w:t xml:space="preserve"> of delayed consumer benefits of MHHS</w:t>
            </w:r>
            <w:r w:rsidR="00DC7845">
              <w:rPr>
                <w:rFonts w:cstheme="minorHAnsi"/>
                <w:i/>
                <w:iCs/>
                <w:color w:val="041425" w:themeColor="text1"/>
                <w:szCs w:val="20"/>
              </w:rPr>
              <w:t xml:space="preserve"> if MHHS Programme milestones </w:t>
            </w:r>
            <w:r w:rsidR="00FB6D88">
              <w:rPr>
                <w:rFonts w:cstheme="minorHAnsi"/>
                <w:i/>
                <w:iCs/>
                <w:color w:val="041425" w:themeColor="text1"/>
                <w:szCs w:val="20"/>
              </w:rPr>
              <w:t>delayed, but this will be subject to Impact Assessment.</w:t>
            </w:r>
            <w:r w:rsidR="00DC7845">
              <w:rPr>
                <w:rFonts w:cstheme="minorHAnsi"/>
                <w:i/>
                <w:iCs/>
                <w:color w:val="041425" w:themeColor="text1"/>
                <w:szCs w:val="20"/>
              </w:rPr>
              <w:t xml:space="preserve"> </w:t>
            </w: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5"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5"/>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701B7E0A" w14:textId="32525815" w:rsidR="00AF4AE2" w:rsidRPr="005B7D3A" w:rsidRDefault="000D62A3" w:rsidP="00AF4AE2">
            <w:pPr>
              <w:pStyle w:val="MHHSBody"/>
              <w:rPr>
                <w:rFonts w:cstheme="minorHAnsi"/>
                <w:i/>
                <w:iCs/>
                <w:color w:val="041425" w:themeColor="text1"/>
                <w:szCs w:val="20"/>
              </w:rPr>
            </w:pPr>
            <w:r>
              <w:rPr>
                <w:rFonts w:cstheme="minorHAnsi"/>
                <w:i/>
                <w:iCs/>
                <w:color w:val="041425" w:themeColor="text1"/>
                <w:szCs w:val="20"/>
              </w:rPr>
              <w:t xml:space="preserve">No </w:t>
            </w:r>
            <w:r w:rsidR="00C735CD">
              <w:rPr>
                <w:rFonts w:cstheme="minorHAnsi"/>
                <w:i/>
                <w:iCs/>
                <w:color w:val="041425" w:themeColor="text1"/>
                <w:szCs w:val="20"/>
              </w:rPr>
              <w:t>anticipated impact on schedule</w:t>
            </w:r>
            <w:r w:rsidR="00BF0844">
              <w:rPr>
                <w:rFonts w:cstheme="minorHAnsi"/>
                <w:i/>
                <w:iCs/>
                <w:color w:val="041425" w:themeColor="text1"/>
                <w:szCs w:val="20"/>
              </w:rPr>
              <w:t xml:space="preserve"> for DNOs and Suppliers, but this will have to be assessed through Impact Assessment </w:t>
            </w:r>
            <w:r w:rsidR="00B206CD">
              <w:rPr>
                <w:rFonts w:cstheme="minorHAnsi"/>
                <w:i/>
                <w:iCs/>
                <w:color w:val="041425" w:themeColor="text1"/>
                <w:szCs w:val="20"/>
              </w:rPr>
              <w:t>which will include impact on the DIP provider.</w:t>
            </w:r>
          </w:p>
          <w:p w14:paraId="67B38DD6" w14:textId="77777777" w:rsidR="00AF4AE2" w:rsidRPr="005B7D3A" w:rsidRDefault="00AF4AE2" w:rsidP="00AF4AE2">
            <w:pPr>
              <w:pStyle w:val="MHHSBody"/>
              <w:rPr>
                <w:rFonts w:cstheme="minorHAnsi"/>
                <w:i/>
                <w:iCs/>
                <w:color w:val="041425" w:themeColor="text1"/>
                <w:szCs w:val="20"/>
              </w:rPr>
            </w:pP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448E9D64" w14:textId="7A9E7C3C" w:rsidR="009056D8" w:rsidRPr="005B7D3A" w:rsidRDefault="00C735CD" w:rsidP="009056D8">
            <w:pPr>
              <w:pStyle w:val="MHHSBody"/>
              <w:rPr>
                <w:b/>
                <w:bCs/>
                <w:color w:val="041425" w:themeColor="text1"/>
              </w:rPr>
            </w:pPr>
            <w:r>
              <w:rPr>
                <w:rFonts w:cstheme="minorHAnsi"/>
                <w:i/>
                <w:iCs/>
                <w:color w:val="041425" w:themeColor="text1"/>
                <w:szCs w:val="20"/>
              </w:rPr>
              <w:t xml:space="preserve">No </w:t>
            </w:r>
            <w:r w:rsidR="005F68AD">
              <w:rPr>
                <w:rFonts w:cstheme="minorHAnsi"/>
                <w:i/>
                <w:iCs/>
                <w:color w:val="041425" w:themeColor="text1"/>
                <w:szCs w:val="20"/>
              </w:rPr>
              <w:t xml:space="preserve">significant </w:t>
            </w:r>
            <w:r>
              <w:rPr>
                <w:rFonts w:cstheme="minorHAnsi"/>
                <w:i/>
                <w:iCs/>
                <w:color w:val="041425" w:themeColor="text1"/>
                <w:szCs w:val="20"/>
              </w:rPr>
              <w:t>anticipated impact on programme costs as the need for this flow was previously identified</w:t>
            </w:r>
            <w:r w:rsidR="00A865B2">
              <w:rPr>
                <w:rFonts w:cstheme="minorHAnsi"/>
                <w:i/>
                <w:iCs/>
                <w:color w:val="041425" w:themeColor="text1"/>
                <w:szCs w:val="20"/>
              </w:rPr>
              <w:t>, howeve</w:t>
            </w:r>
            <w:r w:rsidR="005F68AD">
              <w:rPr>
                <w:rFonts w:cstheme="minorHAnsi"/>
                <w:i/>
                <w:iCs/>
                <w:color w:val="041425" w:themeColor="text1"/>
                <w:szCs w:val="20"/>
              </w:rPr>
              <w:t xml:space="preserve">r this will be subject to Impact Assessment </w:t>
            </w:r>
            <w:r w:rsidR="005F68AD" w:rsidRPr="005F68AD">
              <w:rPr>
                <w:rFonts w:cstheme="minorHAnsi"/>
                <w:i/>
                <w:iCs/>
                <w:color w:val="041425" w:themeColor="text1"/>
                <w:szCs w:val="20"/>
              </w:rPr>
              <w:t xml:space="preserve">as </w:t>
            </w:r>
            <w:r w:rsidR="00D0212A" w:rsidRPr="005F68AD">
              <w:rPr>
                <w:rFonts w:cstheme="minorHAnsi"/>
                <w:i/>
                <w:iCs/>
                <w:color w:val="041425" w:themeColor="text1"/>
                <w:szCs w:val="20"/>
              </w:rPr>
              <w:t>there will be a cost to the Programme to amend design artefacts, testing artefacts, Code and most importantly the DIP service</w:t>
            </w:r>
            <w:r w:rsidRPr="0015686B">
              <w:rPr>
                <w:rFonts w:cstheme="minorHAnsi"/>
                <w:b/>
                <w:bCs/>
                <w:i/>
                <w:iCs/>
                <w:color w:val="041425" w:themeColor="text1"/>
                <w:szCs w:val="20"/>
              </w:rPr>
              <w:t>.</w:t>
            </w:r>
            <w:r>
              <w:rPr>
                <w:rFonts w:cstheme="minorHAnsi"/>
                <w:i/>
                <w:iCs/>
                <w:color w:val="041425" w:themeColor="text1"/>
                <w:szCs w:val="20"/>
              </w:rPr>
              <w:t xml:space="preserve"> There is a direct impact on the costs of distributors </w:t>
            </w:r>
            <w:r w:rsidR="00C57C17">
              <w:rPr>
                <w:rFonts w:cstheme="minorHAnsi"/>
                <w:i/>
                <w:iCs/>
                <w:color w:val="041425" w:themeColor="text1"/>
                <w:szCs w:val="20"/>
              </w:rPr>
              <w:t>by a potential loss of income or delay in cashflow.</w:t>
            </w:r>
            <w:r w:rsidR="00402CAB">
              <w:rPr>
                <w:rFonts w:cstheme="minorHAnsi"/>
                <w:i/>
                <w:iCs/>
                <w:color w:val="041425" w:themeColor="text1"/>
                <w:szCs w:val="20"/>
              </w:rPr>
              <w:t xml:space="preserve"> There will also be costs for distributors and suppliers to implement </w:t>
            </w:r>
            <w:r w:rsidR="00CF0EDB">
              <w:rPr>
                <w:rFonts w:cstheme="minorHAnsi"/>
                <w:i/>
                <w:iCs/>
                <w:color w:val="041425" w:themeColor="text1"/>
                <w:szCs w:val="20"/>
              </w:rPr>
              <w:t xml:space="preserve">the </w:t>
            </w:r>
            <w:r w:rsidR="00402CAB">
              <w:rPr>
                <w:rFonts w:cstheme="minorHAnsi"/>
                <w:i/>
                <w:iCs/>
                <w:color w:val="041425" w:themeColor="text1"/>
                <w:szCs w:val="20"/>
              </w:rPr>
              <w:t>creation and receipt/processing o</w:t>
            </w:r>
            <w:r w:rsidR="00CF0EDB">
              <w:rPr>
                <w:rFonts w:cstheme="minorHAnsi"/>
                <w:i/>
                <w:iCs/>
                <w:color w:val="041425" w:themeColor="text1"/>
                <w:szCs w:val="20"/>
              </w:rPr>
              <w:t>f</w:t>
            </w:r>
            <w:r w:rsidR="00402CAB">
              <w:rPr>
                <w:rFonts w:cstheme="minorHAnsi"/>
                <w:i/>
                <w:iCs/>
                <w:color w:val="041425" w:themeColor="text1"/>
                <w:szCs w:val="20"/>
              </w:rPr>
              <w:t xml:space="preserve"> the new flow</w:t>
            </w:r>
            <w:r w:rsidR="00CF0EDB">
              <w:rPr>
                <w:rFonts w:cstheme="minorHAnsi"/>
                <w:i/>
                <w:iCs/>
                <w:color w:val="041425" w:themeColor="text1"/>
                <w:szCs w:val="20"/>
              </w:rPr>
              <w:t xml:space="preserve">. This is a necessary by-product of other changes within the MHHS programme that have changed </w:t>
            </w:r>
            <w:r w:rsidR="000032C7">
              <w:rPr>
                <w:rFonts w:cstheme="minorHAnsi"/>
                <w:i/>
                <w:iCs/>
                <w:color w:val="041425" w:themeColor="text1"/>
                <w:szCs w:val="20"/>
              </w:rPr>
              <w:t xml:space="preserve">or removed </w:t>
            </w:r>
            <w:r w:rsidR="00CF0EDB">
              <w:rPr>
                <w:rFonts w:cstheme="minorHAnsi"/>
                <w:i/>
                <w:iCs/>
                <w:color w:val="041425" w:themeColor="text1"/>
                <w:szCs w:val="20"/>
              </w:rPr>
              <w:t>data items</w:t>
            </w:r>
            <w:r w:rsidR="000032C7">
              <w:rPr>
                <w:rFonts w:cstheme="minorHAnsi"/>
                <w:i/>
                <w:iCs/>
                <w:color w:val="041425" w:themeColor="text1"/>
                <w:szCs w:val="20"/>
              </w:rPr>
              <w:t xml:space="preserve"> used in this process</w:t>
            </w:r>
            <w:r w:rsidR="00CF0EDB">
              <w:rPr>
                <w:rFonts w:cstheme="minorHAnsi"/>
                <w:i/>
                <w:iCs/>
                <w:color w:val="041425" w:themeColor="text1"/>
                <w:szCs w:val="20"/>
              </w:rPr>
              <w:t>.</w:t>
            </w:r>
          </w:p>
          <w:p w14:paraId="22448014" w14:textId="3388B009" w:rsidR="009056D8" w:rsidRPr="005B7D3A" w:rsidRDefault="009056D8" w:rsidP="009056D8">
            <w:pPr>
              <w:pStyle w:val="MHHSBody"/>
              <w:rPr>
                <w:b/>
                <w:bCs/>
                <w:color w:val="041425" w:themeColor="text1"/>
                <w:u w:val="single"/>
              </w:rPr>
            </w:pP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2EC96E78" w14:textId="1DD62AE7" w:rsidR="002E3B9C" w:rsidRPr="0015686B" w:rsidRDefault="000032C7" w:rsidP="002E3B9C">
            <w:pPr>
              <w:pStyle w:val="MHHSBody"/>
              <w:rPr>
                <w:b/>
                <w:bCs/>
                <w:color w:val="041425" w:themeColor="text1"/>
              </w:rPr>
            </w:pPr>
            <w:r>
              <w:rPr>
                <w:rFonts w:cstheme="minorHAnsi"/>
                <w:i/>
                <w:iCs/>
                <w:color w:val="041425" w:themeColor="text1"/>
                <w:szCs w:val="20"/>
              </w:rPr>
              <w:t xml:space="preserve">There will be resource requirements for distributors and suppliers in </w:t>
            </w:r>
            <w:r w:rsidR="0078587F">
              <w:rPr>
                <w:rFonts w:cstheme="minorHAnsi"/>
                <w:i/>
                <w:iCs/>
                <w:color w:val="041425" w:themeColor="text1"/>
                <w:szCs w:val="20"/>
              </w:rPr>
              <w:t xml:space="preserve">developing the </w:t>
            </w:r>
            <w:r>
              <w:rPr>
                <w:rFonts w:cstheme="minorHAnsi"/>
                <w:i/>
                <w:iCs/>
                <w:color w:val="041425" w:themeColor="text1"/>
                <w:szCs w:val="20"/>
              </w:rPr>
              <w:t>creation and rec</w:t>
            </w:r>
            <w:r w:rsidR="0078587F">
              <w:rPr>
                <w:rFonts w:cstheme="minorHAnsi"/>
                <w:i/>
                <w:iCs/>
                <w:color w:val="041425" w:themeColor="text1"/>
                <w:szCs w:val="20"/>
              </w:rPr>
              <w:t>eipt</w:t>
            </w:r>
            <w:r>
              <w:rPr>
                <w:rFonts w:cstheme="minorHAnsi"/>
                <w:i/>
                <w:iCs/>
                <w:color w:val="041425" w:themeColor="text1"/>
                <w:szCs w:val="20"/>
              </w:rPr>
              <w:t>/process</w:t>
            </w:r>
            <w:r w:rsidR="0078587F">
              <w:rPr>
                <w:rFonts w:cstheme="minorHAnsi"/>
                <w:i/>
                <w:iCs/>
                <w:color w:val="041425" w:themeColor="text1"/>
                <w:szCs w:val="20"/>
              </w:rPr>
              <w:t>ing of</w:t>
            </w:r>
            <w:r>
              <w:rPr>
                <w:rFonts w:cstheme="minorHAnsi"/>
                <w:i/>
                <w:iCs/>
                <w:color w:val="041425" w:themeColor="text1"/>
                <w:szCs w:val="20"/>
              </w:rPr>
              <w:t xml:space="preserve"> the new flow. This is a necessary by-product of other changes within the MHHS programme that have changed or removed data items used in this process.</w:t>
            </w:r>
            <w:r w:rsidR="002C1232">
              <w:rPr>
                <w:rFonts w:cstheme="minorHAnsi"/>
                <w:i/>
                <w:iCs/>
                <w:color w:val="041425" w:themeColor="text1"/>
                <w:szCs w:val="20"/>
              </w:rPr>
              <w:t xml:space="preserve"> There will be an impact on the Programme to draft new deliverables and to manage the DIP Service Provider through any change.  There will be a resource impact on the DIP Service provider.</w:t>
            </w:r>
            <w:r w:rsidR="0063186E">
              <w:rPr>
                <w:rFonts w:cstheme="minorHAnsi"/>
                <w:i/>
                <w:iCs/>
                <w:color w:val="041425" w:themeColor="text1"/>
                <w:szCs w:val="20"/>
              </w:rPr>
              <w:t xml:space="preserve"> This will be subject to Impact Assessment response.</w:t>
            </w:r>
          </w:p>
          <w:p w14:paraId="556B106E" w14:textId="7BE22C46" w:rsidR="002E3B9C" w:rsidRPr="005B7D3A"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7449AC34" w14:textId="4F1F1D5D" w:rsidR="0078587F" w:rsidRPr="005B7D3A" w:rsidRDefault="0078587F" w:rsidP="0078587F">
            <w:pPr>
              <w:pStyle w:val="MHHSBody"/>
              <w:rPr>
                <w:b/>
                <w:bCs/>
                <w:color w:val="041425" w:themeColor="text1"/>
              </w:rPr>
            </w:pPr>
            <w:r>
              <w:rPr>
                <w:rFonts w:cstheme="minorHAnsi"/>
                <w:i/>
                <w:iCs/>
                <w:color w:val="041425" w:themeColor="text1"/>
                <w:szCs w:val="20"/>
              </w:rPr>
              <w:t xml:space="preserve">No </w:t>
            </w:r>
            <w:r w:rsidR="0063186E">
              <w:rPr>
                <w:rFonts w:cstheme="minorHAnsi"/>
                <w:i/>
                <w:iCs/>
                <w:color w:val="041425" w:themeColor="text1"/>
                <w:szCs w:val="20"/>
              </w:rPr>
              <w:t xml:space="preserve">significant </w:t>
            </w:r>
            <w:r>
              <w:rPr>
                <w:rFonts w:cstheme="minorHAnsi"/>
                <w:i/>
                <w:iCs/>
                <w:color w:val="041425" w:themeColor="text1"/>
                <w:szCs w:val="20"/>
              </w:rPr>
              <w:t>anticipated impact on programme</w:t>
            </w:r>
            <w:r w:rsidR="0063186E">
              <w:rPr>
                <w:rFonts w:cstheme="minorHAnsi"/>
                <w:i/>
                <w:iCs/>
                <w:color w:val="041425" w:themeColor="text1"/>
                <w:szCs w:val="20"/>
              </w:rPr>
              <w:t xml:space="preserve">, however this will be subject to Impact Assessment </w:t>
            </w:r>
            <w:r w:rsidR="0063186E" w:rsidRPr="005F68AD">
              <w:rPr>
                <w:rFonts w:cstheme="minorHAnsi"/>
                <w:i/>
                <w:iCs/>
                <w:color w:val="041425" w:themeColor="text1"/>
                <w:szCs w:val="20"/>
              </w:rPr>
              <w:t>as there will be a cost to the Programme to amend design artefacts, testing artefacts, Code and most importantly the DIP service</w:t>
            </w:r>
            <w:r w:rsidR="007F0205">
              <w:rPr>
                <w:rFonts w:cstheme="minorHAnsi"/>
                <w:i/>
                <w:iCs/>
                <w:color w:val="041425" w:themeColor="text1"/>
                <w:szCs w:val="20"/>
              </w:rPr>
              <w:t xml:space="preserve"> and this is likely to impact the contract with the DIP provider and the LDP</w:t>
            </w:r>
            <w:r w:rsidR="0063186E" w:rsidRPr="00767C14">
              <w:rPr>
                <w:rFonts w:cstheme="minorHAnsi"/>
                <w:b/>
                <w:bCs/>
                <w:i/>
                <w:iCs/>
                <w:color w:val="041425" w:themeColor="text1"/>
                <w:szCs w:val="20"/>
              </w:rPr>
              <w:t>.</w:t>
            </w:r>
            <w:r w:rsidR="0063186E">
              <w:rPr>
                <w:rFonts w:cstheme="minorHAnsi"/>
                <w:i/>
                <w:iCs/>
                <w:color w:val="041425" w:themeColor="text1"/>
                <w:szCs w:val="20"/>
              </w:rPr>
              <w:t xml:space="preserve"> D</w:t>
            </w:r>
            <w:r>
              <w:rPr>
                <w:rFonts w:cstheme="minorHAnsi"/>
                <w:i/>
                <w:iCs/>
                <w:color w:val="041425" w:themeColor="text1"/>
                <w:szCs w:val="20"/>
              </w:rPr>
              <w:t>istributors/suppliers may use contractors to develop the system changes required to create and receive/process the new flow. This is a necessary by-product of other changes within the MHHS programme that have changed or removed data items used in this process.</w:t>
            </w:r>
          </w:p>
          <w:p w14:paraId="46702604" w14:textId="77777777" w:rsidR="002E3B9C" w:rsidRPr="005B7D3A" w:rsidRDefault="002E3B9C" w:rsidP="002E3B9C">
            <w:pPr>
              <w:pStyle w:val="MHHSBody"/>
              <w:rPr>
                <w:rFonts w:cstheme="minorHAnsi"/>
                <w:i/>
                <w:iCs/>
                <w:color w:val="041425" w:themeColor="text1"/>
                <w:szCs w:val="20"/>
              </w:rPr>
            </w:pP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39E4187B" w14:textId="266FBE98" w:rsidR="002E3B9C" w:rsidRDefault="0078587F" w:rsidP="002E3B9C">
            <w:pPr>
              <w:pStyle w:val="MHHSBody"/>
              <w:rPr>
                <w:rFonts w:cstheme="minorHAnsi"/>
                <w:i/>
                <w:iCs/>
                <w:color w:val="041425" w:themeColor="text1"/>
                <w:szCs w:val="20"/>
              </w:rPr>
            </w:pPr>
            <w:r>
              <w:rPr>
                <w:rFonts w:cstheme="minorHAnsi"/>
                <w:i/>
                <w:iCs/>
                <w:color w:val="041425" w:themeColor="text1"/>
                <w:szCs w:val="20"/>
              </w:rPr>
              <w:t>No</w:t>
            </w:r>
            <w:r w:rsidR="003A38F4">
              <w:rPr>
                <w:rFonts w:cstheme="minorHAnsi"/>
                <w:i/>
                <w:iCs/>
                <w:color w:val="041425" w:themeColor="text1"/>
                <w:szCs w:val="20"/>
              </w:rPr>
              <w:t xml:space="preserve"> significant</w:t>
            </w:r>
            <w:r>
              <w:rPr>
                <w:rFonts w:cstheme="minorHAnsi"/>
                <w:i/>
                <w:iCs/>
                <w:color w:val="041425" w:themeColor="text1"/>
                <w:szCs w:val="20"/>
              </w:rPr>
              <w:t xml:space="preserve"> anticipated impact on programme</w:t>
            </w:r>
            <w:r w:rsidR="000E33A7">
              <w:rPr>
                <w:rFonts w:cstheme="minorHAnsi"/>
                <w:i/>
                <w:iCs/>
                <w:color w:val="041425" w:themeColor="text1"/>
                <w:szCs w:val="20"/>
              </w:rPr>
              <w:t xml:space="preserve">, however this will be subject to Impact Assessment </w:t>
            </w:r>
            <w:r w:rsidR="000E33A7" w:rsidRPr="005F68AD">
              <w:rPr>
                <w:rFonts w:cstheme="minorHAnsi"/>
                <w:i/>
                <w:iCs/>
                <w:color w:val="041425" w:themeColor="text1"/>
                <w:szCs w:val="20"/>
              </w:rPr>
              <w:t>as there will be a</w:t>
            </w:r>
            <w:r w:rsidR="000E33A7">
              <w:rPr>
                <w:rFonts w:cstheme="minorHAnsi"/>
                <w:i/>
                <w:iCs/>
                <w:color w:val="041425" w:themeColor="text1"/>
                <w:szCs w:val="20"/>
              </w:rPr>
              <w:t>n impact</w:t>
            </w:r>
            <w:r w:rsidR="000E33A7" w:rsidRPr="005F68AD">
              <w:rPr>
                <w:rFonts w:cstheme="minorHAnsi"/>
                <w:i/>
                <w:iCs/>
                <w:color w:val="041425" w:themeColor="text1"/>
                <w:szCs w:val="20"/>
              </w:rPr>
              <w:t xml:space="preserve"> to the Programme</w:t>
            </w:r>
            <w:r w:rsidR="00004E04">
              <w:rPr>
                <w:rFonts w:cstheme="minorHAnsi"/>
                <w:i/>
                <w:iCs/>
                <w:color w:val="041425" w:themeColor="text1"/>
                <w:szCs w:val="20"/>
              </w:rPr>
              <w:t>.</w:t>
            </w:r>
            <w:r>
              <w:rPr>
                <w:rFonts w:cstheme="minorHAnsi"/>
                <w:i/>
                <w:iCs/>
                <w:color w:val="041425" w:themeColor="text1"/>
                <w:szCs w:val="20"/>
              </w:rPr>
              <w:t xml:space="preserve"> </w:t>
            </w:r>
            <w:r w:rsidR="00004E04">
              <w:rPr>
                <w:rFonts w:cstheme="minorHAnsi"/>
                <w:i/>
                <w:iCs/>
                <w:color w:val="041425" w:themeColor="text1"/>
                <w:szCs w:val="20"/>
              </w:rPr>
              <w:t>I</w:t>
            </w:r>
            <w:r>
              <w:rPr>
                <w:rFonts w:cstheme="minorHAnsi"/>
                <w:i/>
                <w:iCs/>
                <w:color w:val="041425" w:themeColor="text1"/>
                <w:szCs w:val="20"/>
              </w:rPr>
              <w:t>mplementing this new flow removes a material risk to distributor income/cashflow.</w:t>
            </w:r>
          </w:p>
          <w:p w14:paraId="2512DDF9" w14:textId="2D8FF727" w:rsidR="002E3B9C" w:rsidRPr="005B7D3A" w:rsidRDefault="00075109" w:rsidP="002E3B9C">
            <w:pPr>
              <w:pStyle w:val="MHHSBody"/>
              <w:rPr>
                <w:color w:val="041425" w:themeColor="text1"/>
                <w:u w:val="single"/>
              </w:rPr>
            </w:pPr>
            <w:r>
              <w:rPr>
                <w:rFonts w:cstheme="minorHAnsi"/>
                <w:i/>
                <w:iCs/>
                <w:color w:val="041425" w:themeColor="text1"/>
                <w:szCs w:val="20"/>
              </w:rPr>
              <w:t>There is a risk that design and DIP provider changes impact key programme milestones</w:t>
            </w: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6"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6"/>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lastRenderedPageBreak/>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7"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7"/>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3"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14"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15"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16"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17"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18"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19"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0"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1"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2"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3"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24"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2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2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2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2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2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1E7217EC" w14:textId="490154A9" w:rsidR="00124C9C" w:rsidRDefault="00124C9C" w:rsidP="001E03F6"/>
    <w:sectPr w:rsidR="00124C9C" w:rsidSect="00124C9C">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5EEC" w14:textId="77777777" w:rsidR="0015621B" w:rsidRDefault="0015621B" w:rsidP="007F1A2A">
      <w:pPr>
        <w:spacing w:after="0" w:line="240" w:lineRule="auto"/>
      </w:pPr>
      <w:r>
        <w:separator/>
      </w:r>
    </w:p>
  </w:endnote>
  <w:endnote w:type="continuationSeparator" w:id="0">
    <w:p w14:paraId="41320CC1" w14:textId="77777777" w:rsidR="0015621B" w:rsidRDefault="0015621B" w:rsidP="007F1A2A">
      <w:pPr>
        <w:spacing w:after="0" w:line="240" w:lineRule="auto"/>
      </w:pPr>
      <w:r>
        <w:continuationSeparator/>
      </w:r>
    </w:p>
  </w:endnote>
  <w:endnote w:type="continuationNotice" w:id="1">
    <w:p w14:paraId="4087848F" w14:textId="77777777" w:rsidR="0015621B" w:rsidRDefault="00156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2A04CD7D"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763D47">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5BE0">
              <w:rPr>
                <w:noProof/>
              </w:rPr>
              <w:t>3</w:t>
            </w:r>
            <w:r w:rsidRPr="008345BA">
              <w:fldChar w:fldCharType="end"/>
            </w:r>
            <w:r w:rsidRPr="008345BA">
              <w:t xml:space="preserve"> of </w:t>
            </w:r>
            <w:r>
              <w:fldChar w:fldCharType="begin"/>
            </w:r>
            <w:r>
              <w:instrText xml:space="preserve"> NUMPAGES  </w:instrText>
            </w:r>
            <w:r>
              <w:fldChar w:fldCharType="separate"/>
            </w:r>
            <w:r w:rsidR="00FD5BE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005531F6"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763D47">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A3FC" w14:textId="77777777" w:rsidR="0015621B" w:rsidRDefault="0015621B" w:rsidP="007F1A2A">
      <w:pPr>
        <w:spacing w:after="0" w:line="240" w:lineRule="auto"/>
      </w:pPr>
      <w:r>
        <w:separator/>
      </w:r>
    </w:p>
  </w:footnote>
  <w:footnote w:type="continuationSeparator" w:id="0">
    <w:p w14:paraId="567B35A7" w14:textId="77777777" w:rsidR="0015621B" w:rsidRDefault="0015621B" w:rsidP="007F1A2A">
      <w:pPr>
        <w:spacing w:after="0" w:line="240" w:lineRule="auto"/>
      </w:pPr>
      <w:r>
        <w:continuationSeparator/>
      </w:r>
    </w:p>
  </w:footnote>
  <w:footnote w:type="continuationNotice" w:id="1">
    <w:p w14:paraId="008A182F" w14:textId="77777777" w:rsidR="0015621B" w:rsidRDefault="00156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1"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9"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0"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2"/>
  </w:num>
  <w:num w:numId="2" w16cid:durableId="724723516">
    <w:abstractNumId w:val="0"/>
  </w:num>
  <w:num w:numId="3" w16cid:durableId="833758805">
    <w:abstractNumId w:val="9"/>
  </w:num>
  <w:num w:numId="4" w16cid:durableId="1400977024">
    <w:abstractNumId w:val="22"/>
  </w:num>
  <w:num w:numId="5" w16cid:durableId="316613592">
    <w:abstractNumId w:val="3"/>
  </w:num>
  <w:num w:numId="6" w16cid:durableId="1013411567">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8"/>
  </w:num>
  <w:num w:numId="9" w16cid:durableId="1735858750">
    <w:abstractNumId w:val="24"/>
  </w:num>
  <w:num w:numId="10" w16cid:durableId="1960143817">
    <w:abstractNumId w:val="18"/>
  </w:num>
  <w:num w:numId="11" w16cid:durableId="1445418775">
    <w:abstractNumId w:val="26"/>
  </w:num>
  <w:num w:numId="12" w16cid:durableId="1173691629">
    <w:abstractNumId w:val="16"/>
  </w:num>
  <w:num w:numId="13" w16cid:durableId="1408531643">
    <w:abstractNumId w:val="27"/>
  </w:num>
  <w:num w:numId="14" w16cid:durableId="1689717075">
    <w:abstractNumId w:val="6"/>
  </w:num>
  <w:num w:numId="15" w16cid:durableId="1765345746">
    <w:abstractNumId w:val="25"/>
  </w:num>
  <w:num w:numId="16" w16cid:durableId="1739861400">
    <w:abstractNumId w:val="23"/>
  </w:num>
  <w:num w:numId="17" w16cid:durableId="1362322889">
    <w:abstractNumId w:val="1"/>
  </w:num>
  <w:num w:numId="18" w16cid:durableId="566696032">
    <w:abstractNumId w:val="4"/>
  </w:num>
  <w:num w:numId="19" w16cid:durableId="1453282219">
    <w:abstractNumId w:val="21"/>
  </w:num>
  <w:num w:numId="20" w16cid:durableId="84496781">
    <w:abstractNumId w:val="17"/>
  </w:num>
  <w:num w:numId="21" w16cid:durableId="1290478798">
    <w:abstractNumId w:val="14"/>
  </w:num>
  <w:num w:numId="22" w16cid:durableId="608702015">
    <w:abstractNumId w:val="20"/>
  </w:num>
  <w:num w:numId="23" w16cid:durableId="833299150">
    <w:abstractNumId w:val="11"/>
  </w:num>
  <w:num w:numId="24" w16cid:durableId="1701055255">
    <w:abstractNumId w:val="5"/>
  </w:num>
  <w:num w:numId="25" w16cid:durableId="723874514">
    <w:abstractNumId w:val="7"/>
  </w:num>
  <w:num w:numId="26" w16cid:durableId="1140270382">
    <w:abstractNumId w:val="19"/>
  </w:num>
  <w:num w:numId="27" w16cid:durableId="2123456360">
    <w:abstractNumId w:val="12"/>
  </w:num>
  <w:num w:numId="28" w16cid:durableId="1851213370">
    <w:abstractNumId w:val="15"/>
  </w:num>
  <w:num w:numId="29" w16cid:durableId="158302579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32C7"/>
    <w:rsid w:val="00004E04"/>
    <w:rsid w:val="00004FE7"/>
    <w:rsid w:val="000071EF"/>
    <w:rsid w:val="000117E1"/>
    <w:rsid w:val="000122E4"/>
    <w:rsid w:val="00013919"/>
    <w:rsid w:val="00016BB3"/>
    <w:rsid w:val="00020C01"/>
    <w:rsid w:val="0003153C"/>
    <w:rsid w:val="00034C99"/>
    <w:rsid w:val="000425BF"/>
    <w:rsid w:val="00047328"/>
    <w:rsid w:val="000534B2"/>
    <w:rsid w:val="00053B5E"/>
    <w:rsid w:val="000551C9"/>
    <w:rsid w:val="00063D04"/>
    <w:rsid w:val="000644AE"/>
    <w:rsid w:val="000665D8"/>
    <w:rsid w:val="000743E0"/>
    <w:rsid w:val="00075109"/>
    <w:rsid w:val="00076C3A"/>
    <w:rsid w:val="0007720E"/>
    <w:rsid w:val="000811DF"/>
    <w:rsid w:val="00084A59"/>
    <w:rsid w:val="00084CE9"/>
    <w:rsid w:val="000867CF"/>
    <w:rsid w:val="00087F09"/>
    <w:rsid w:val="00090194"/>
    <w:rsid w:val="00092B2B"/>
    <w:rsid w:val="000A045B"/>
    <w:rsid w:val="000A0AE7"/>
    <w:rsid w:val="000A38C4"/>
    <w:rsid w:val="000A78D5"/>
    <w:rsid w:val="000A793B"/>
    <w:rsid w:val="000A7BF0"/>
    <w:rsid w:val="000B0BBB"/>
    <w:rsid w:val="000B3037"/>
    <w:rsid w:val="000B6E8B"/>
    <w:rsid w:val="000C3EC4"/>
    <w:rsid w:val="000C3F95"/>
    <w:rsid w:val="000C4D49"/>
    <w:rsid w:val="000C7DEC"/>
    <w:rsid w:val="000D0765"/>
    <w:rsid w:val="000D3B8B"/>
    <w:rsid w:val="000D3DC1"/>
    <w:rsid w:val="000D4A6C"/>
    <w:rsid w:val="000D62A3"/>
    <w:rsid w:val="000D6539"/>
    <w:rsid w:val="000D7E48"/>
    <w:rsid w:val="000E0749"/>
    <w:rsid w:val="000E18A6"/>
    <w:rsid w:val="000E304F"/>
    <w:rsid w:val="000E33A7"/>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6310"/>
    <w:rsid w:val="001430EC"/>
    <w:rsid w:val="00143EC4"/>
    <w:rsid w:val="00145996"/>
    <w:rsid w:val="00147E8F"/>
    <w:rsid w:val="00151F9B"/>
    <w:rsid w:val="00153100"/>
    <w:rsid w:val="0015587F"/>
    <w:rsid w:val="0015621B"/>
    <w:rsid w:val="0015686B"/>
    <w:rsid w:val="00161DFF"/>
    <w:rsid w:val="00162CC1"/>
    <w:rsid w:val="00171AB1"/>
    <w:rsid w:val="0017442D"/>
    <w:rsid w:val="00175E89"/>
    <w:rsid w:val="00180D45"/>
    <w:rsid w:val="00182554"/>
    <w:rsid w:val="001837E4"/>
    <w:rsid w:val="00183CBB"/>
    <w:rsid w:val="00183DCE"/>
    <w:rsid w:val="00191168"/>
    <w:rsid w:val="001932DD"/>
    <w:rsid w:val="001944E7"/>
    <w:rsid w:val="00196297"/>
    <w:rsid w:val="00196698"/>
    <w:rsid w:val="001A018B"/>
    <w:rsid w:val="001A786A"/>
    <w:rsid w:val="001A7E27"/>
    <w:rsid w:val="001B2B74"/>
    <w:rsid w:val="001B3F5C"/>
    <w:rsid w:val="001C43A1"/>
    <w:rsid w:val="001C5F8C"/>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34E0"/>
    <w:rsid w:val="002351F0"/>
    <w:rsid w:val="00245487"/>
    <w:rsid w:val="00247A1C"/>
    <w:rsid w:val="00250039"/>
    <w:rsid w:val="00260CDE"/>
    <w:rsid w:val="002626FA"/>
    <w:rsid w:val="00265B8B"/>
    <w:rsid w:val="0026756E"/>
    <w:rsid w:val="0027332E"/>
    <w:rsid w:val="00275753"/>
    <w:rsid w:val="0027788D"/>
    <w:rsid w:val="002833E1"/>
    <w:rsid w:val="00284F6E"/>
    <w:rsid w:val="002855CB"/>
    <w:rsid w:val="0029174A"/>
    <w:rsid w:val="00294252"/>
    <w:rsid w:val="00294BAC"/>
    <w:rsid w:val="002964A1"/>
    <w:rsid w:val="002A28F3"/>
    <w:rsid w:val="002A70BE"/>
    <w:rsid w:val="002A72F4"/>
    <w:rsid w:val="002B03F4"/>
    <w:rsid w:val="002B04D8"/>
    <w:rsid w:val="002B29D5"/>
    <w:rsid w:val="002B30E1"/>
    <w:rsid w:val="002B3A78"/>
    <w:rsid w:val="002B42AE"/>
    <w:rsid w:val="002B4DF4"/>
    <w:rsid w:val="002C0835"/>
    <w:rsid w:val="002C1232"/>
    <w:rsid w:val="002C2973"/>
    <w:rsid w:val="002C2F7A"/>
    <w:rsid w:val="002C4C62"/>
    <w:rsid w:val="002C65D3"/>
    <w:rsid w:val="002D1F76"/>
    <w:rsid w:val="002D321F"/>
    <w:rsid w:val="002D533B"/>
    <w:rsid w:val="002E06ED"/>
    <w:rsid w:val="002E0E91"/>
    <w:rsid w:val="002E1F86"/>
    <w:rsid w:val="002E3B9C"/>
    <w:rsid w:val="002E3CE0"/>
    <w:rsid w:val="002E5522"/>
    <w:rsid w:val="002E68F3"/>
    <w:rsid w:val="002F0B3C"/>
    <w:rsid w:val="002F2A06"/>
    <w:rsid w:val="002F2E2B"/>
    <w:rsid w:val="002F6C5F"/>
    <w:rsid w:val="002F7192"/>
    <w:rsid w:val="003019DD"/>
    <w:rsid w:val="00301A2D"/>
    <w:rsid w:val="00303B82"/>
    <w:rsid w:val="00305015"/>
    <w:rsid w:val="00310D64"/>
    <w:rsid w:val="00314400"/>
    <w:rsid w:val="0031548E"/>
    <w:rsid w:val="00316D3E"/>
    <w:rsid w:val="00321D61"/>
    <w:rsid w:val="00324AC4"/>
    <w:rsid w:val="003263AE"/>
    <w:rsid w:val="00326AA0"/>
    <w:rsid w:val="0033241F"/>
    <w:rsid w:val="00335B30"/>
    <w:rsid w:val="00340C27"/>
    <w:rsid w:val="003411EC"/>
    <w:rsid w:val="0034134B"/>
    <w:rsid w:val="00341B12"/>
    <w:rsid w:val="00341E3B"/>
    <w:rsid w:val="003454F7"/>
    <w:rsid w:val="0035150D"/>
    <w:rsid w:val="003546D9"/>
    <w:rsid w:val="00354C8E"/>
    <w:rsid w:val="0036112A"/>
    <w:rsid w:val="00365A87"/>
    <w:rsid w:val="00370C26"/>
    <w:rsid w:val="00371289"/>
    <w:rsid w:val="00375E65"/>
    <w:rsid w:val="00383384"/>
    <w:rsid w:val="00386A18"/>
    <w:rsid w:val="0038723A"/>
    <w:rsid w:val="0038771D"/>
    <w:rsid w:val="00392525"/>
    <w:rsid w:val="00393377"/>
    <w:rsid w:val="0039425C"/>
    <w:rsid w:val="003A0677"/>
    <w:rsid w:val="003A38F4"/>
    <w:rsid w:val="003A54C8"/>
    <w:rsid w:val="003A5CB9"/>
    <w:rsid w:val="003A7CFD"/>
    <w:rsid w:val="003B298A"/>
    <w:rsid w:val="003B4E65"/>
    <w:rsid w:val="003B5EC6"/>
    <w:rsid w:val="003C5731"/>
    <w:rsid w:val="003C5BD4"/>
    <w:rsid w:val="003D3C39"/>
    <w:rsid w:val="003D620E"/>
    <w:rsid w:val="003D774C"/>
    <w:rsid w:val="003E1C00"/>
    <w:rsid w:val="003E389C"/>
    <w:rsid w:val="003E4399"/>
    <w:rsid w:val="003F17EB"/>
    <w:rsid w:val="003F4E69"/>
    <w:rsid w:val="003F579A"/>
    <w:rsid w:val="003F7F02"/>
    <w:rsid w:val="00402CAB"/>
    <w:rsid w:val="00403DB2"/>
    <w:rsid w:val="0040490B"/>
    <w:rsid w:val="00404C3B"/>
    <w:rsid w:val="00414E29"/>
    <w:rsid w:val="00416C2A"/>
    <w:rsid w:val="00422EC9"/>
    <w:rsid w:val="0042390B"/>
    <w:rsid w:val="00427048"/>
    <w:rsid w:val="00431615"/>
    <w:rsid w:val="00433376"/>
    <w:rsid w:val="0043557E"/>
    <w:rsid w:val="00437715"/>
    <w:rsid w:val="004509C9"/>
    <w:rsid w:val="004515FB"/>
    <w:rsid w:val="00452A2A"/>
    <w:rsid w:val="00455E1B"/>
    <w:rsid w:val="00456B64"/>
    <w:rsid w:val="00464E40"/>
    <w:rsid w:val="004704FF"/>
    <w:rsid w:val="00475A3E"/>
    <w:rsid w:val="00485627"/>
    <w:rsid w:val="00492EA8"/>
    <w:rsid w:val="004A2C6F"/>
    <w:rsid w:val="004A39A1"/>
    <w:rsid w:val="004A77B2"/>
    <w:rsid w:val="004B2ABE"/>
    <w:rsid w:val="004B4B3C"/>
    <w:rsid w:val="004B6660"/>
    <w:rsid w:val="004C14FC"/>
    <w:rsid w:val="004C16B0"/>
    <w:rsid w:val="004C626E"/>
    <w:rsid w:val="004D0669"/>
    <w:rsid w:val="004D272C"/>
    <w:rsid w:val="004D2B8C"/>
    <w:rsid w:val="004D4723"/>
    <w:rsid w:val="004E228E"/>
    <w:rsid w:val="004E39D8"/>
    <w:rsid w:val="004E5557"/>
    <w:rsid w:val="004F1E49"/>
    <w:rsid w:val="004F46F4"/>
    <w:rsid w:val="004F5759"/>
    <w:rsid w:val="00505C15"/>
    <w:rsid w:val="0051017E"/>
    <w:rsid w:val="005101FE"/>
    <w:rsid w:val="00510E4D"/>
    <w:rsid w:val="005128C7"/>
    <w:rsid w:val="00513D90"/>
    <w:rsid w:val="00514843"/>
    <w:rsid w:val="0051626F"/>
    <w:rsid w:val="00517E3E"/>
    <w:rsid w:val="00527631"/>
    <w:rsid w:val="00527C76"/>
    <w:rsid w:val="00531ADF"/>
    <w:rsid w:val="00535B5A"/>
    <w:rsid w:val="005369CD"/>
    <w:rsid w:val="00537417"/>
    <w:rsid w:val="00540519"/>
    <w:rsid w:val="0054131D"/>
    <w:rsid w:val="005418B9"/>
    <w:rsid w:val="005427F1"/>
    <w:rsid w:val="005429AA"/>
    <w:rsid w:val="005433CF"/>
    <w:rsid w:val="00550AF8"/>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5880"/>
    <w:rsid w:val="005C790A"/>
    <w:rsid w:val="005D0A89"/>
    <w:rsid w:val="005D18CB"/>
    <w:rsid w:val="005D727F"/>
    <w:rsid w:val="005D7769"/>
    <w:rsid w:val="005E3697"/>
    <w:rsid w:val="005E4438"/>
    <w:rsid w:val="005E519C"/>
    <w:rsid w:val="005E56C5"/>
    <w:rsid w:val="005E7ED4"/>
    <w:rsid w:val="005F1DFE"/>
    <w:rsid w:val="005F222C"/>
    <w:rsid w:val="005F68AD"/>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186E"/>
    <w:rsid w:val="00636BE6"/>
    <w:rsid w:val="00640DE0"/>
    <w:rsid w:val="00643F46"/>
    <w:rsid w:val="006461EA"/>
    <w:rsid w:val="00647020"/>
    <w:rsid w:val="00647FAB"/>
    <w:rsid w:val="0065074D"/>
    <w:rsid w:val="00650F39"/>
    <w:rsid w:val="00651F24"/>
    <w:rsid w:val="006524E5"/>
    <w:rsid w:val="00655F12"/>
    <w:rsid w:val="00656E14"/>
    <w:rsid w:val="00672D21"/>
    <w:rsid w:val="00674D12"/>
    <w:rsid w:val="00682F69"/>
    <w:rsid w:val="006A2878"/>
    <w:rsid w:val="006A357D"/>
    <w:rsid w:val="006A4877"/>
    <w:rsid w:val="006A57DC"/>
    <w:rsid w:val="006A67F0"/>
    <w:rsid w:val="006A77BD"/>
    <w:rsid w:val="006A7991"/>
    <w:rsid w:val="006B1803"/>
    <w:rsid w:val="006B4454"/>
    <w:rsid w:val="006C00B4"/>
    <w:rsid w:val="006C0A41"/>
    <w:rsid w:val="006C0A75"/>
    <w:rsid w:val="006C5E01"/>
    <w:rsid w:val="006D740E"/>
    <w:rsid w:val="006F0122"/>
    <w:rsid w:val="006F1087"/>
    <w:rsid w:val="006F7595"/>
    <w:rsid w:val="006F799F"/>
    <w:rsid w:val="007030A3"/>
    <w:rsid w:val="00706626"/>
    <w:rsid w:val="00706920"/>
    <w:rsid w:val="00710906"/>
    <w:rsid w:val="007161FF"/>
    <w:rsid w:val="0071691E"/>
    <w:rsid w:val="007211FC"/>
    <w:rsid w:val="0072282A"/>
    <w:rsid w:val="00723EC7"/>
    <w:rsid w:val="00727848"/>
    <w:rsid w:val="007344D3"/>
    <w:rsid w:val="007351BE"/>
    <w:rsid w:val="0073660F"/>
    <w:rsid w:val="0073752E"/>
    <w:rsid w:val="00737829"/>
    <w:rsid w:val="00737E06"/>
    <w:rsid w:val="0074013F"/>
    <w:rsid w:val="00742DC4"/>
    <w:rsid w:val="00745F69"/>
    <w:rsid w:val="007461AD"/>
    <w:rsid w:val="0074756E"/>
    <w:rsid w:val="007560FE"/>
    <w:rsid w:val="007566B1"/>
    <w:rsid w:val="00757E68"/>
    <w:rsid w:val="00763D47"/>
    <w:rsid w:val="00764538"/>
    <w:rsid w:val="00771E35"/>
    <w:rsid w:val="007730FE"/>
    <w:rsid w:val="0077359A"/>
    <w:rsid w:val="00777B13"/>
    <w:rsid w:val="00777B8D"/>
    <w:rsid w:val="00781C0D"/>
    <w:rsid w:val="0078587F"/>
    <w:rsid w:val="00790171"/>
    <w:rsid w:val="007905D1"/>
    <w:rsid w:val="007935D5"/>
    <w:rsid w:val="00793AFD"/>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D0604"/>
    <w:rsid w:val="007D3155"/>
    <w:rsid w:val="007D34E2"/>
    <w:rsid w:val="007D78F8"/>
    <w:rsid w:val="007E4398"/>
    <w:rsid w:val="007E5A31"/>
    <w:rsid w:val="007F0205"/>
    <w:rsid w:val="007F1A2A"/>
    <w:rsid w:val="00800DEE"/>
    <w:rsid w:val="00802929"/>
    <w:rsid w:val="00803A0E"/>
    <w:rsid w:val="0080680C"/>
    <w:rsid w:val="008075A8"/>
    <w:rsid w:val="008117C8"/>
    <w:rsid w:val="008222C3"/>
    <w:rsid w:val="00824F87"/>
    <w:rsid w:val="008306A7"/>
    <w:rsid w:val="0083260C"/>
    <w:rsid w:val="00832D21"/>
    <w:rsid w:val="00832F59"/>
    <w:rsid w:val="008345BA"/>
    <w:rsid w:val="00834D44"/>
    <w:rsid w:val="008409F5"/>
    <w:rsid w:val="00840B1F"/>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8434D"/>
    <w:rsid w:val="00892B30"/>
    <w:rsid w:val="0089405F"/>
    <w:rsid w:val="008946DB"/>
    <w:rsid w:val="00894F9F"/>
    <w:rsid w:val="008A0C13"/>
    <w:rsid w:val="008A16C2"/>
    <w:rsid w:val="008A2ECC"/>
    <w:rsid w:val="008A3ACD"/>
    <w:rsid w:val="008C07D4"/>
    <w:rsid w:val="008C1D48"/>
    <w:rsid w:val="008D0B78"/>
    <w:rsid w:val="008D4068"/>
    <w:rsid w:val="008E137D"/>
    <w:rsid w:val="008E2C3D"/>
    <w:rsid w:val="008F0321"/>
    <w:rsid w:val="008F0B71"/>
    <w:rsid w:val="008F4B86"/>
    <w:rsid w:val="008F4F0F"/>
    <w:rsid w:val="00903894"/>
    <w:rsid w:val="00904932"/>
    <w:rsid w:val="009056D8"/>
    <w:rsid w:val="0091216C"/>
    <w:rsid w:val="00914C25"/>
    <w:rsid w:val="0091604F"/>
    <w:rsid w:val="00916786"/>
    <w:rsid w:val="00917CD5"/>
    <w:rsid w:val="009205D6"/>
    <w:rsid w:val="00924F48"/>
    <w:rsid w:val="00924FC6"/>
    <w:rsid w:val="00925D57"/>
    <w:rsid w:val="00927E94"/>
    <w:rsid w:val="00932214"/>
    <w:rsid w:val="00933D57"/>
    <w:rsid w:val="00934096"/>
    <w:rsid w:val="0093434A"/>
    <w:rsid w:val="00937090"/>
    <w:rsid w:val="009377EA"/>
    <w:rsid w:val="009427EA"/>
    <w:rsid w:val="009455ED"/>
    <w:rsid w:val="0094665D"/>
    <w:rsid w:val="00953FCD"/>
    <w:rsid w:val="009546EB"/>
    <w:rsid w:val="009550AF"/>
    <w:rsid w:val="00957495"/>
    <w:rsid w:val="00960D82"/>
    <w:rsid w:val="00961537"/>
    <w:rsid w:val="0096339A"/>
    <w:rsid w:val="009641B1"/>
    <w:rsid w:val="00977766"/>
    <w:rsid w:val="009806B6"/>
    <w:rsid w:val="00991FD3"/>
    <w:rsid w:val="009943F7"/>
    <w:rsid w:val="00996912"/>
    <w:rsid w:val="00997730"/>
    <w:rsid w:val="009A0EA7"/>
    <w:rsid w:val="009A4F56"/>
    <w:rsid w:val="009A5E85"/>
    <w:rsid w:val="009A66FE"/>
    <w:rsid w:val="009A698C"/>
    <w:rsid w:val="009A7AD3"/>
    <w:rsid w:val="009B0522"/>
    <w:rsid w:val="009B1E3D"/>
    <w:rsid w:val="009B5A50"/>
    <w:rsid w:val="009C26A8"/>
    <w:rsid w:val="009C437E"/>
    <w:rsid w:val="009C7889"/>
    <w:rsid w:val="009D1203"/>
    <w:rsid w:val="009D1D53"/>
    <w:rsid w:val="009D5B37"/>
    <w:rsid w:val="009E369D"/>
    <w:rsid w:val="009E5334"/>
    <w:rsid w:val="009E6D71"/>
    <w:rsid w:val="009E6EB0"/>
    <w:rsid w:val="009E7869"/>
    <w:rsid w:val="009F2A5E"/>
    <w:rsid w:val="009F38B2"/>
    <w:rsid w:val="009F3C0B"/>
    <w:rsid w:val="009F4949"/>
    <w:rsid w:val="009F5E5B"/>
    <w:rsid w:val="009F6D31"/>
    <w:rsid w:val="00A02F6F"/>
    <w:rsid w:val="00A10A25"/>
    <w:rsid w:val="00A11376"/>
    <w:rsid w:val="00A118D8"/>
    <w:rsid w:val="00A12172"/>
    <w:rsid w:val="00A14D94"/>
    <w:rsid w:val="00A16B76"/>
    <w:rsid w:val="00A2063E"/>
    <w:rsid w:val="00A2154A"/>
    <w:rsid w:val="00A22104"/>
    <w:rsid w:val="00A31446"/>
    <w:rsid w:val="00A342D0"/>
    <w:rsid w:val="00A40C6D"/>
    <w:rsid w:val="00A40F2A"/>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56C9"/>
    <w:rsid w:val="00A76C6F"/>
    <w:rsid w:val="00A81623"/>
    <w:rsid w:val="00A840FF"/>
    <w:rsid w:val="00A85ACF"/>
    <w:rsid w:val="00A865B2"/>
    <w:rsid w:val="00A86AE7"/>
    <w:rsid w:val="00A929C5"/>
    <w:rsid w:val="00A92AE4"/>
    <w:rsid w:val="00A940A2"/>
    <w:rsid w:val="00A952CE"/>
    <w:rsid w:val="00A963DA"/>
    <w:rsid w:val="00AA02FD"/>
    <w:rsid w:val="00AA06FD"/>
    <w:rsid w:val="00AA070B"/>
    <w:rsid w:val="00AA49E7"/>
    <w:rsid w:val="00AA6D2A"/>
    <w:rsid w:val="00AB196D"/>
    <w:rsid w:val="00AC33B2"/>
    <w:rsid w:val="00AC4533"/>
    <w:rsid w:val="00AC5400"/>
    <w:rsid w:val="00AC6743"/>
    <w:rsid w:val="00AD0BFE"/>
    <w:rsid w:val="00AD0F81"/>
    <w:rsid w:val="00AD3286"/>
    <w:rsid w:val="00AD42DD"/>
    <w:rsid w:val="00AD4E49"/>
    <w:rsid w:val="00AD50AF"/>
    <w:rsid w:val="00AD6787"/>
    <w:rsid w:val="00AF2398"/>
    <w:rsid w:val="00AF4AE2"/>
    <w:rsid w:val="00AF65C8"/>
    <w:rsid w:val="00B0254B"/>
    <w:rsid w:val="00B14091"/>
    <w:rsid w:val="00B142DB"/>
    <w:rsid w:val="00B14826"/>
    <w:rsid w:val="00B206CD"/>
    <w:rsid w:val="00B20F2E"/>
    <w:rsid w:val="00B33F02"/>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20EB"/>
    <w:rsid w:val="00B76CDE"/>
    <w:rsid w:val="00B77319"/>
    <w:rsid w:val="00B85570"/>
    <w:rsid w:val="00B86D2D"/>
    <w:rsid w:val="00B87B44"/>
    <w:rsid w:val="00BA06BC"/>
    <w:rsid w:val="00BA0E67"/>
    <w:rsid w:val="00BA3D8A"/>
    <w:rsid w:val="00BA4845"/>
    <w:rsid w:val="00BB22CC"/>
    <w:rsid w:val="00BB51C7"/>
    <w:rsid w:val="00BB5A03"/>
    <w:rsid w:val="00BC030A"/>
    <w:rsid w:val="00BC6F33"/>
    <w:rsid w:val="00BD0DFB"/>
    <w:rsid w:val="00BD452B"/>
    <w:rsid w:val="00BD643B"/>
    <w:rsid w:val="00BE34A8"/>
    <w:rsid w:val="00BE35A0"/>
    <w:rsid w:val="00BE5A46"/>
    <w:rsid w:val="00BF0844"/>
    <w:rsid w:val="00BF3777"/>
    <w:rsid w:val="00BF721F"/>
    <w:rsid w:val="00C05C6B"/>
    <w:rsid w:val="00C07B56"/>
    <w:rsid w:val="00C100EA"/>
    <w:rsid w:val="00C119C8"/>
    <w:rsid w:val="00C12829"/>
    <w:rsid w:val="00C156B6"/>
    <w:rsid w:val="00C16E52"/>
    <w:rsid w:val="00C2261D"/>
    <w:rsid w:val="00C22ED1"/>
    <w:rsid w:val="00C2460B"/>
    <w:rsid w:val="00C2729F"/>
    <w:rsid w:val="00C2751B"/>
    <w:rsid w:val="00C30F49"/>
    <w:rsid w:val="00C31012"/>
    <w:rsid w:val="00C32F6C"/>
    <w:rsid w:val="00C330C3"/>
    <w:rsid w:val="00C335DA"/>
    <w:rsid w:val="00C4169B"/>
    <w:rsid w:val="00C42F75"/>
    <w:rsid w:val="00C44422"/>
    <w:rsid w:val="00C4747F"/>
    <w:rsid w:val="00C51C7E"/>
    <w:rsid w:val="00C52AB7"/>
    <w:rsid w:val="00C53E85"/>
    <w:rsid w:val="00C57C17"/>
    <w:rsid w:val="00C62FEC"/>
    <w:rsid w:val="00C65E89"/>
    <w:rsid w:val="00C660BD"/>
    <w:rsid w:val="00C663C8"/>
    <w:rsid w:val="00C66B92"/>
    <w:rsid w:val="00C70663"/>
    <w:rsid w:val="00C70852"/>
    <w:rsid w:val="00C70B6D"/>
    <w:rsid w:val="00C71655"/>
    <w:rsid w:val="00C72876"/>
    <w:rsid w:val="00C73084"/>
    <w:rsid w:val="00C735CD"/>
    <w:rsid w:val="00C77EA1"/>
    <w:rsid w:val="00C8188B"/>
    <w:rsid w:val="00C82CFF"/>
    <w:rsid w:val="00C85012"/>
    <w:rsid w:val="00C85067"/>
    <w:rsid w:val="00C97BC7"/>
    <w:rsid w:val="00CA36DA"/>
    <w:rsid w:val="00CA6B99"/>
    <w:rsid w:val="00CA77C4"/>
    <w:rsid w:val="00CA7A1F"/>
    <w:rsid w:val="00CB0714"/>
    <w:rsid w:val="00CB0B99"/>
    <w:rsid w:val="00CB4261"/>
    <w:rsid w:val="00CB6F32"/>
    <w:rsid w:val="00CC0225"/>
    <w:rsid w:val="00CC1066"/>
    <w:rsid w:val="00CC16FD"/>
    <w:rsid w:val="00CC45D7"/>
    <w:rsid w:val="00CD13BC"/>
    <w:rsid w:val="00CD1C3D"/>
    <w:rsid w:val="00CD1DDD"/>
    <w:rsid w:val="00CD5FF7"/>
    <w:rsid w:val="00CD6BA8"/>
    <w:rsid w:val="00CD72EE"/>
    <w:rsid w:val="00CE04AC"/>
    <w:rsid w:val="00CE2CB3"/>
    <w:rsid w:val="00CE39B1"/>
    <w:rsid w:val="00CF0EDB"/>
    <w:rsid w:val="00CF1E51"/>
    <w:rsid w:val="00CF3C9B"/>
    <w:rsid w:val="00CF3F69"/>
    <w:rsid w:val="00CF49C7"/>
    <w:rsid w:val="00CF52C6"/>
    <w:rsid w:val="00CF7251"/>
    <w:rsid w:val="00D0212A"/>
    <w:rsid w:val="00D03854"/>
    <w:rsid w:val="00D03E89"/>
    <w:rsid w:val="00D04216"/>
    <w:rsid w:val="00D04DC7"/>
    <w:rsid w:val="00D05839"/>
    <w:rsid w:val="00D07165"/>
    <w:rsid w:val="00D07618"/>
    <w:rsid w:val="00D10E21"/>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69F6"/>
    <w:rsid w:val="00D76E9C"/>
    <w:rsid w:val="00D83DCB"/>
    <w:rsid w:val="00D87C80"/>
    <w:rsid w:val="00D94CB0"/>
    <w:rsid w:val="00D95C8E"/>
    <w:rsid w:val="00D96220"/>
    <w:rsid w:val="00DA362C"/>
    <w:rsid w:val="00DA3E26"/>
    <w:rsid w:val="00DA68E0"/>
    <w:rsid w:val="00DA7370"/>
    <w:rsid w:val="00DA7DFB"/>
    <w:rsid w:val="00DB03A1"/>
    <w:rsid w:val="00DB454A"/>
    <w:rsid w:val="00DC1FA8"/>
    <w:rsid w:val="00DC332D"/>
    <w:rsid w:val="00DC598C"/>
    <w:rsid w:val="00DC7633"/>
    <w:rsid w:val="00DC7845"/>
    <w:rsid w:val="00DD0965"/>
    <w:rsid w:val="00DD0CF2"/>
    <w:rsid w:val="00DD57EC"/>
    <w:rsid w:val="00DD5E3A"/>
    <w:rsid w:val="00DD5E95"/>
    <w:rsid w:val="00DD5EC3"/>
    <w:rsid w:val="00DF1A93"/>
    <w:rsid w:val="00DF20B2"/>
    <w:rsid w:val="00DF68B7"/>
    <w:rsid w:val="00E00CFE"/>
    <w:rsid w:val="00E03B82"/>
    <w:rsid w:val="00E072FE"/>
    <w:rsid w:val="00E07469"/>
    <w:rsid w:val="00E14035"/>
    <w:rsid w:val="00E174AA"/>
    <w:rsid w:val="00E20B3C"/>
    <w:rsid w:val="00E220D1"/>
    <w:rsid w:val="00E2427A"/>
    <w:rsid w:val="00E249BA"/>
    <w:rsid w:val="00E25D94"/>
    <w:rsid w:val="00E309D6"/>
    <w:rsid w:val="00E37288"/>
    <w:rsid w:val="00E40B6D"/>
    <w:rsid w:val="00E42681"/>
    <w:rsid w:val="00E46A70"/>
    <w:rsid w:val="00E46F71"/>
    <w:rsid w:val="00E50124"/>
    <w:rsid w:val="00E51466"/>
    <w:rsid w:val="00E535A2"/>
    <w:rsid w:val="00E6009D"/>
    <w:rsid w:val="00E620EC"/>
    <w:rsid w:val="00E645F4"/>
    <w:rsid w:val="00E67E12"/>
    <w:rsid w:val="00E7057C"/>
    <w:rsid w:val="00E7199D"/>
    <w:rsid w:val="00E720F1"/>
    <w:rsid w:val="00E72E1B"/>
    <w:rsid w:val="00E73FC2"/>
    <w:rsid w:val="00E757ED"/>
    <w:rsid w:val="00E85582"/>
    <w:rsid w:val="00E86758"/>
    <w:rsid w:val="00E86804"/>
    <w:rsid w:val="00EA0748"/>
    <w:rsid w:val="00EA08AA"/>
    <w:rsid w:val="00EA4A67"/>
    <w:rsid w:val="00EB392E"/>
    <w:rsid w:val="00EB56CB"/>
    <w:rsid w:val="00EC018E"/>
    <w:rsid w:val="00EC05FE"/>
    <w:rsid w:val="00EC0807"/>
    <w:rsid w:val="00EC2572"/>
    <w:rsid w:val="00EC5306"/>
    <w:rsid w:val="00EC6839"/>
    <w:rsid w:val="00ED0E02"/>
    <w:rsid w:val="00ED1230"/>
    <w:rsid w:val="00ED17EB"/>
    <w:rsid w:val="00EE0337"/>
    <w:rsid w:val="00EE7E48"/>
    <w:rsid w:val="00EE7F53"/>
    <w:rsid w:val="00EF2AAE"/>
    <w:rsid w:val="00EF398E"/>
    <w:rsid w:val="00F027A4"/>
    <w:rsid w:val="00F06261"/>
    <w:rsid w:val="00F10419"/>
    <w:rsid w:val="00F14B16"/>
    <w:rsid w:val="00F15A22"/>
    <w:rsid w:val="00F23C5D"/>
    <w:rsid w:val="00F24BA3"/>
    <w:rsid w:val="00F251A3"/>
    <w:rsid w:val="00F346D7"/>
    <w:rsid w:val="00F36043"/>
    <w:rsid w:val="00F37521"/>
    <w:rsid w:val="00F41B94"/>
    <w:rsid w:val="00F43087"/>
    <w:rsid w:val="00F54098"/>
    <w:rsid w:val="00F5586A"/>
    <w:rsid w:val="00F6156E"/>
    <w:rsid w:val="00F62C5B"/>
    <w:rsid w:val="00F71A0E"/>
    <w:rsid w:val="00F71E6A"/>
    <w:rsid w:val="00F84704"/>
    <w:rsid w:val="00F86912"/>
    <w:rsid w:val="00F86A0D"/>
    <w:rsid w:val="00F902D6"/>
    <w:rsid w:val="00F90BB1"/>
    <w:rsid w:val="00F94CF8"/>
    <w:rsid w:val="00FA4E2F"/>
    <w:rsid w:val="00FA787B"/>
    <w:rsid w:val="00FB6D88"/>
    <w:rsid w:val="00FC1DCC"/>
    <w:rsid w:val="00FC277F"/>
    <w:rsid w:val="00FC7AAB"/>
    <w:rsid w:val="00FD28B6"/>
    <w:rsid w:val="00FD5BE0"/>
    <w:rsid w:val="00FD7563"/>
    <w:rsid w:val="00FE2312"/>
    <w:rsid w:val="00FE290A"/>
    <w:rsid w:val="00FE3070"/>
    <w:rsid w:val="00FF29E7"/>
    <w:rsid w:val="00FF3408"/>
    <w:rsid w:val="00FF43EF"/>
    <w:rsid w:val="00FF58B8"/>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character" w:customStyle="1" w:styleId="ui-provider">
    <w:name w:val="ui-provider"/>
    <w:basedOn w:val="DefaultParagraphFont"/>
    <w:rsid w:val="003E1C00"/>
  </w:style>
  <w:style w:type="paragraph" w:styleId="Revision">
    <w:name w:val="Revision"/>
    <w:hidden/>
    <w:uiPriority w:val="99"/>
    <w:semiHidden/>
    <w:rsid w:val="00781C0D"/>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64">
      <w:bodyDiv w:val="1"/>
      <w:marLeft w:val="0"/>
      <w:marRight w:val="0"/>
      <w:marTop w:val="0"/>
      <w:marBottom w:val="0"/>
      <w:divBdr>
        <w:top w:val="none" w:sz="0" w:space="0" w:color="auto"/>
        <w:left w:val="none" w:sz="0" w:space="0" w:color="auto"/>
        <w:bottom w:val="none" w:sz="0" w:space="0" w:color="auto"/>
        <w:right w:val="none" w:sz="0" w:space="0" w:color="auto"/>
      </w:divBdr>
    </w:div>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679117688">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usa.co.uk/change/replacement-of-d0242-d0315-for-mhh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V xmlns="c712b3fb-dfa4-408d-ba67-c014ff684e9a">1.2</V>
    <_DCDateModified xmlns="http://schemas.microsoft.com/sharepoint/v3/fields" xsi:nil="true"/>
    <Doc_x0020_Number xmlns="336dc6f7-e858-42a6-bc18-5509d747a3d8">DEL1076</Doc_x0020_Number>
    <CR xmlns="c712b3fb-dfa4-408d-ba67-c014ff684e9a">CR019</CR>
    <Short_x0020_Name xmlns="336dc6f7-e858-42a6-bc18-5509d747a3d8">CR019 Change Request</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Theme xmlns="c712b3fb-dfa4-408d-ba67-c014ff684e9a">Request Forms</Theme>
    <Archive xmlns="c712b3fb-dfa4-408d-ba67-c014ff684e9a">false</Archi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336dc6f7-e858-42a6-bc18-5509d747a3d8"/>
    <ds:schemaRef ds:uri="1ec6c686-3e88-4115-b468-4b1672fc2d35"/>
  </ds:schemaRefs>
</ds:datastoreItem>
</file>

<file path=customXml/itemProps4.xml><?xml version="1.0" encoding="utf-8"?>
<ds:datastoreItem xmlns:ds="http://schemas.openxmlformats.org/officeDocument/2006/customXml" ds:itemID="{063BD9A3-B8A4-45CB-BC8B-B97A5FF20D83}"/>
</file>

<file path=docProps/app.xml><?xml version="1.0" encoding="utf-8"?>
<Properties xmlns="http://schemas.openxmlformats.org/officeDocument/2006/extended-properties" xmlns:vt="http://schemas.openxmlformats.org/officeDocument/2006/docPropsVTypes">
  <Template>Normal.dotm</Template>
  <TotalTime>15</TotalTime>
  <Pages>10</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20869</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Alexander Whiteman</cp:lastModifiedBy>
  <cp:revision>8</cp:revision>
  <dcterms:created xsi:type="dcterms:W3CDTF">2023-03-14T13:32:00Z</dcterms:created>
  <dcterms:modified xsi:type="dcterms:W3CDTF">2023-03-15T12:07:00Z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y fmtid="{D5CDD505-2E9C-101B-9397-08002B2CF9AE}" pid="4" name="MSIP_Label_24fe2fa2-8093-4776-8a20-2d25f8c7acf2_Enabled">
    <vt:lpwstr>true</vt:lpwstr>
  </property>
  <property fmtid="{D5CDD505-2E9C-101B-9397-08002B2CF9AE}" pid="5" name="MSIP_Label_24fe2fa2-8093-4776-8a20-2d25f8c7acf2_SetDate">
    <vt:lpwstr>2023-02-15T08:25:29Z</vt:lpwstr>
  </property>
  <property fmtid="{D5CDD505-2E9C-101B-9397-08002B2CF9AE}" pid="6" name="MSIP_Label_24fe2fa2-8093-4776-8a20-2d25f8c7acf2_Method">
    <vt:lpwstr>Standard</vt:lpwstr>
  </property>
  <property fmtid="{D5CDD505-2E9C-101B-9397-08002B2CF9AE}" pid="7" name="MSIP_Label_24fe2fa2-8093-4776-8a20-2d25f8c7acf2_Name">
    <vt:lpwstr>Internal</vt:lpwstr>
  </property>
  <property fmtid="{D5CDD505-2E9C-101B-9397-08002B2CF9AE}" pid="8" name="MSIP_Label_24fe2fa2-8093-4776-8a20-2d25f8c7acf2_SiteId">
    <vt:lpwstr>887a239c-e092-45fe-92c8-d902c3681567</vt:lpwstr>
  </property>
  <property fmtid="{D5CDD505-2E9C-101B-9397-08002B2CF9AE}" pid="9" name="MSIP_Label_24fe2fa2-8093-4776-8a20-2d25f8c7acf2_ActionId">
    <vt:lpwstr>1c7e91a8-0038-45c1-9a8c-544e8a65e528</vt:lpwstr>
  </property>
  <property fmtid="{D5CDD505-2E9C-101B-9397-08002B2CF9AE}" pid="10" name="MSIP_Label_24fe2fa2-8093-4776-8a20-2d25f8c7acf2_ContentBits">
    <vt:lpwstr>0</vt:lpwstr>
  </property>
</Properties>
</file>